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80" w:lineRule="exact"/>
        <w:rPr>
          <w:sz w:val="28"/>
          <w:szCs w:val="28"/>
        </w:rPr>
      </w:pPr>
    </w:p>
    <w:p>
      <w:pPr>
        <w:spacing w:line="580" w:lineRule="exact"/>
        <w:rPr>
          <w:sz w:val="28"/>
          <w:szCs w:val="28"/>
        </w:rPr>
      </w:pPr>
    </w:p>
    <w:p>
      <w:pPr>
        <w:spacing w:line="580" w:lineRule="exact"/>
        <w:rPr>
          <w:sz w:val="28"/>
          <w:szCs w:val="28"/>
        </w:rPr>
      </w:pPr>
    </w:p>
    <w:p>
      <w:pPr>
        <w:spacing w:line="580" w:lineRule="exact"/>
        <w:rPr>
          <w:rFonts w:hint="eastAsia"/>
          <w:sz w:val="28"/>
          <w:szCs w:val="28"/>
        </w:rPr>
      </w:pPr>
    </w:p>
    <w:p>
      <w:pPr>
        <w:spacing w:line="580" w:lineRule="exact"/>
        <w:rPr>
          <w:rFonts w:hint="eastAsia"/>
          <w:sz w:val="28"/>
          <w:szCs w:val="28"/>
        </w:rPr>
      </w:pPr>
    </w:p>
    <w:p>
      <w:pPr>
        <w:spacing w:line="580" w:lineRule="exac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尖农牧[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</w:rPr>
        <w:t>]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54</w:t>
      </w:r>
      <w:r>
        <w:rPr>
          <w:rFonts w:hint="eastAsia" w:ascii="仿宋" w:hAnsi="仿宋" w:eastAsia="仿宋"/>
          <w:color w:val="000000"/>
          <w:sz w:val="32"/>
        </w:rPr>
        <w:t>号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color w:val="000000"/>
          <w:sz w:val="32"/>
        </w:rPr>
        <w:t>签发：</w:t>
      </w:r>
      <w:r>
        <w:rPr>
          <w:rFonts w:hint="eastAsia" w:ascii="仿宋" w:hAnsi="仿宋" w:eastAsia="仿宋"/>
          <w:color w:val="000000"/>
          <w:sz w:val="32"/>
          <w:lang w:eastAsia="zh-CN"/>
        </w:rPr>
        <w:t>夏吾乃旦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尖扎县农牧和科技局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关于上报2020年政府信息公开工作的年度报告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根据通知要求，现将我局《2020年政府信息公开工作年度报告》随文呈上，不妥之处敬请批评指正。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尖扎县农牧和科技局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2021年4月25日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尖扎县农牧和科技局</w:t>
      </w:r>
    </w:p>
    <w:p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2020年政府信息公开工作年度报告</w:t>
      </w:r>
    </w:p>
    <w:p>
      <w:pPr>
        <w:widowControl/>
        <w:shd w:val="clear" w:color="auto" w:fill="FFFFFF"/>
        <w:ind w:firstLine="440" w:firstLineChars="200"/>
        <w:jc w:val="left"/>
        <w:rPr>
          <w:rFonts w:ascii="宋体" w:hAnsi="宋体" w:eastAsia="宋体" w:cs="宋体"/>
          <w:color w:val="666666"/>
          <w:kern w:val="0"/>
          <w:sz w:val="22"/>
          <w:szCs w:val="2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本报告依据《中华人民共和国政府信息公开条例》（以下简称《条例》）和《青海省实施〈中华人民共和国政府信息公开条例〉办法》（以下简称《实施办法》）要求编制。报告中所列数据的统计期限自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日起，至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12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31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日止。对本报告如有疑问，请联系：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尖扎县农牧和科技局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（0973-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8733134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）。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总体情况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坚持以习近平新时代中国特色社会主义思想为指导，全面贯彻党的十九大和十九届三中、四中、五中全会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省委十三届八次、州委十二届十次、县委十四届七次会议精神，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深入学习贯彻习近平总书记对青海工作的重要指示批示精神，坚决贯彻落实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县委县政府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全面推进政务公开工作决策部署，牢记初心使命，强化责任担当，深化重点领域信息公开。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强化组织领导。</w:t>
      </w:r>
      <w:r>
        <w:rPr>
          <w:rFonts w:hint="eastAsia" w:ascii="仿宋_GB2312" w:eastAsia="仿宋_GB2312"/>
          <w:color w:val="000000"/>
          <w:sz w:val="32"/>
          <w:szCs w:val="32"/>
        </w:rPr>
        <w:t>成立了由主要领导任组长，主管领导任副组长，局属单位负责人为成员的领导小组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形成了总体工作有人管，具体工作有人抓的领导机制。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明确工作职责，责任落实到人，确保政府信息公开透明。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643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（二）明确公开内容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根据依法行政建设法制政府和我县软环境建设的要求，在政务公开内容上我们坚持了“整治源头，突出重点”的原则，具体做到了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十个公开：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</w:rPr>
        <w:t>公开部门职责的管理权限；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公开办事依据的法律、法规和规章制度；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公开办事条件、标准和要求；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四是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公开办事程序、环节和手续；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五是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公开办事时限，包括法律、法规、规章规定的时限和办理有关事项的时间；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六是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公开办事结果；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七是</w:t>
      </w:r>
      <w:r>
        <w:rPr>
          <w:rFonts w:hint="eastAsia" w:ascii="仿宋_GB2312" w:eastAsia="仿宋_GB2312"/>
          <w:color w:val="000000"/>
          <w:sz w:val="32"/>
          <w:szCs w:val="32"/>
        </w:rPr>
        <w:t>公开便民措施；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八是</w:t>
      </w:r>
      <w:r>
        <w:rPr>
          <w:rFonts w:hint="eastAsia" w:ascii="仿宋_GB2312" w:eastAsia="仿宋_GB2312"/>
          <w:color w:val="000000"/>
          <w:sz w:val="32"/>
          <w:szCs w:val="32"/>
        </w:rPr>
        <w:t>公开办事纪律和廉政、勤政制度；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九是</w:t>
      </w:r>
      <w:r>
        <w:rPr>
          <w:rFonts w:hint="eastAsia" w:ascii="仿宋_GB2312" w:eastAsia="仿宋_GB2312"/>
          <w:color w:val="000000"/>
          <w:sz w:val="32"/>
          <w:szCs w:val="32"/>
        </w:rPr>
        <w:t>公开承诺内容；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十是</w:t>
      </w:r>
      <w:r>
        <w:rPr>
          <w:rFonts w:hint="eastAsia" w:ascii="仿宋_GB2312" w:eastAsia="仿宋_GB2312"/>
          <w:color w:val="000000"/>
          <w:sz w:val="32"/>
          <w:szCs w:val="32"/>
        </w:rPr>
        <w:t>公开追究办法。对不兑现承诺，不认真履行职责等行为实行责任追究。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_GB2312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（三）突出“三个重点”。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</w:rPr>
        <w:t>突出重点单位。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我局农牧业综合行政执法大队是执法单位，也是</w:t>
      </w:r>
      <w:r>
        <w:rPr>
          <w:rFonts w:hint="eastAsia" w:ascii="仿宋_GB2312" w:eastAsia="仿宋_GB2312"/>
          <w:color w:val="000000"/>
          <w:sz w:val="32"/>
          <w:szCs w:val="32"/>
        </w:rPr>
        <w:t>政务公开工作的重点单位，也是软环境建设的重点单位。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局机关对该单位的</w:t>
      </w:r>
      <w:r>
        <w:rPr>
          <w:rFonts w:hint="eastAsia" w:ascii="仿宋_GB2312" w:eastAsia="仿宋_GB2312"/>
          <w:color w:val="000000"/>
          <w:sz w:val="32"/>
          <w:szCs w:val="32"/>
        </w:rPr>
        <w:t>公开内容、程序、措施等进行重点把关、严格审查、定期检查、随时抽查，确保在“三农”工作中把服务维权落到实处。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突出重点部位。针对农村财务审计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种子监察、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畜牧检疫等</w:t>
      </w:r>
      <w:r>
        <w:rPr>
          <w:rFonts w:hint="eastAsia" w:ascii="仿宋_GB2312" w:eastAsia="仿宋_GB2312"/>
          <w:color w:val="000000"/>
          <w:sz w:val="32"/>
          <w:szCs w:val="32"/>
        </w:rPr>
        <w:t>重点部位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不定期的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color w:val="000000"/>
          <w:sz w:val="32"/>
          <w:szCs w:val="32"/>
        </w:rPr>
        <w:t>监督检查，确保政务公开落到实处。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突出重点项目。对种子、肥料、农药这三个直接关系到粮食生产和农民利益的行政执法项目，做到所涉及的法律、法规、程序等详细公开，制板上墙，一目了然，方便群众，解除疑惑。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）加强宣传引导。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凭借“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尖扎宣传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尖扎之声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等媒体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“三农”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政策宣传解读工作。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二、主动公开政府信息情况</w:t>
      </w:r>
    </w:p>
    <w:tbl>
      <w:tblPr>
        <w:tblStyle w:val="6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8"/>
        <w:gridCol w:w="1096"/>
        <w:gridCol w:w="2014"/>
        <w:gridCol w:w="1026"/>
        <w:gridCol w:w="1244"/>
        <w:gridCol w:w="24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规章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209.46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三、收到和处理政府信息公开申请情况</w:t>
      </w:r>
    </w:p>
    <w:tbl>
      <w:tblPr>
        <w:tblStyle w:val="6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23"/>
        <w:gridCol w:w="3440"/>
        <w:gridCol w:w="503"/>
        <w:gridCol w:w="688"/>
        <w:gridCol w:w="1041"/>
        <w:gridCol w:w="923"/>
        <w:gridCol w:w="789"/>
        <w:gridCol w:w="571"/>
        <w:gridCol w:w="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3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7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35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3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四、政府信息公开行政复议、行政诉讼情况</w:t>
      </w:r>
    </w:p>
    <w:tbl>
      <w:tblPr>
        <w:tblStyle w:val="6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677"/>
        <w:gridCol w:w="677"/>
        <w:gridCol w:w="677"/>
        <w:gridCol w:w="745"/>
        <w:gridCol w:w="609"/>
        <w:gridCol w:w="677"/>
        <w:gridCol w:w="677"/>
        <w:gridCol w:w="677"/>
        <w:gridCol w:w="711"/>
        <w:gridCol w:w="677"/>
        <w:gridCol w:w="677"/>
        <w:gridCol w:w="677"/>
        <w:gridCol w:w="677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33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before="0" w:beforeAutospacing="0" w:after="0" w:afterAutospacing="0" w:line="640" w:lineRule="exact"/>
        <w:jc w:val="both"/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黑体" w:eastAsia="黑体"/>
          <w:b/>
          <w:color w:val="000000"/>
          <w:sz w:val="32"/>
          <w:szCs w:val="32"/>
        </w:rPr>
        <w:t>三、存在的问题及明年工作打算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通过总结一年来的工作，我们感到，在政务公开工作中还存在着某些行政行为还不十分规范，工作人员的法规意识还有待进一步提高、工作程序需进一步简化等问题，针对上述问题，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</w:rPr>
        <w:t>年，政务公开工作要在县委、县政府的领导下，在有关部门的具体指导下，做好如下几方面工作：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　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</w:rPr>
        <w:t>进一步加强领导，规范具体行政行为，坚持依法行政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加强对工作人员的培训，提高工作人员的素质，包括政治素质、法规素质、业务素质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三是</w:t>
      </w:r>
      <w:r>
        <w:rPr>
          <w:rFonts w:hint="eastAsia" w:ascii="仿宋_GB2312" w:eastAsia="仿宋_GB2312"/>
          <w:color w:val="000000"/>
          <w:sz w:val="32"/>
          <w:szCs w:val="32"/>
        </w:rPr>
        <w:t>坚持公平、公正、公开的原则，进一步简化办事程序，提高效率，方便群众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四是</w:t>
      </w:r>
      <w:r>
        <w:rPr>
          <w:rFonts w:hint="eastAsia" w:ascii="仿宋_GB2312" w:eastAsia="仿宋_GB2312"/>
          <w:color w:val="000000"/>
          <w:sz w:val="32"/>
          <w:szCs w:val="32"/>
        </w:rPr>
        <w:t>在县政府的统一领导下，加强软环境建设工作，对于执法执纪等涉软工作，力争全部走进政务大厅，实行一站式办公。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A1105"/>
    <w:multiLevelType w:val="singleLevel"/>
    <w:tmpl w:val="D02A1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F8"/>
    <w:rsid w:val="00311377"/>
    <w:rsid w:val="00315013"/>
    <w:rsid w:val="005807B6"/>
    <w:rsid w:val="00730401"/>
    <w:rsid w:val="007C6AFF"/>
    <w:rsid w:val="00A014F8"/>
    <w:rsid w:val="00AA4DAF"/>
    <w:rsid w:val="00C86AD6"/>
    <w:rsid w:val="00E531F7"/>
    <w:rsid w:val="00FC4F54"/>
    <w:rsid w:val="0DC850EB"/>
    <w:rsid w:val="0EA7775D"/>
    <w:rsid w:val="224F49EC"/>
    <w:rsid w:val="22C65CB5"/>
    <w:rsid w:val="2733338A"/>
    <w:rsid w:val="280A1576"/>
    <w:rsid w:val="297F3C5D"/>
    <w:rsid w:val="3C4B371B"/>
    <w:rsid w:val="3DB146C4"/>
    <w:rsid w:val="49844A32"/>
    <w:rsid w:val="4AC12AC8"/>
    <w:rsid w:val="4B485ECF"/>
    <w:rsid w:val="4EA21451"/>
    <w:rsid w:val="6F0974A4"/>
    <w:rsid w:val="6FBF0F20"/>
    <w:rsid w:val="703200DF"/>
    <w:rsid w:val="710B75D6"/>
    <w:rsid w:val="78B33D70"/>
    <w:rsid w:val="7900297F"/>
    <w:rsid w:val="7F9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360"/>
      <w:outlineLvl w:val="0"/>
    </w:pPr>
    <w:rPr>
      <w:rFonts w:eastAsia="黑体"/>
      <w:kern w:val="44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6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6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26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234</Words>
  <Characters>1337</Characters>
  <Lines>11</Lines>
  <Paragraphs>3</Paragraphs>
  <TotalTime>19</TotalTime>
  <ScaleCrop>false</ScaleCrop>
  <LinksUpToDate>false</LinksUpToDate>
  <CharactersWithSpaces>1568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2021-04-23T06:56:00Z</dcterms:created>
  <dc:creator>未定义</dc:creator>
  <cp:lastModifiedBy>Administrator</cp:lastModifiedBy>
  <dcterms:modified xsi:type="dcterms:W3CDTF">2021-04-26T02:50:34Z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DF6A0B57C2F143898E9CF20E42C9B54D</vt:lpwstr>
  </property>
</Properties>
</file>