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方正小标宋_GBK" w:hAnsi="微软雅黑" w:eastAsia="方正小标宋_GBK" w:cs="宋体"/>
          <w:color w:val="000000" w:themeColor="text1"/>
          <w:kern w:val="0"/>
          <w:sz w:val="44"/>
          <w:szCs w:val="44"/>
        </w:rPr>
      </w:pPr>
      <w:bookmarkStart w:id="0" w:name="_GoBack"/>
      <w:r>
        <w:rPr>
          <w:rFonts w:hint="eastAsia" w:ascii="方正小标宋_GBK" w:hAnsi="微软雅黑" w:eastAsia="方正小标宋_GBK" w:cs="宋体"/>
          <w:color w:val="000000" w:themeColor="text1"/>
          <w:kern w:val="0"/>
          <w:sz w:val="44"/>
          <w:szCs w:val="44"/>
        </w:rPr>
        <w:t>（</w:t>
      </w:r>
      <w:r>
        <w:rPr>
          <w:rFonts w:hint="eastAsia" w:ascii="方正小标宋_GBK" w:hAnsi="微软雅黑" w:eastAsia="方正小标宋_GBK" w:cs="宋体"/>
          <w:color w:val="000000" w:themeColor="text1"/>
          <w:kern w:val="0"/>
          <w:sz w:val="44"/>
          <w:szCs w:val="44"/>
          <w:lang w:eastAsia="zh-CN"/>
        </w:rPr>
        <w:t>尖扎县自然资源局</w:t>
      </w:r>
      <w:r>
        <w:rPr>
          <w:rFonts w:hint="eastAsia" w:ascii="方正小标宋_GBK" w:hAnsi="微软雅黑" w:eastAsia="方正小标宋_GBK" w:cs="宋体"/>
          <w:color w:val="000000" w:themeColor="text1"/>
          <w:kern w:val="0"/>
          <w:sz w:val="44"/>
          <w:szCs w:val="44"/>
        </w:rPr>
        <w:t>）</w:t>
      </w:r>
    </w:p>
    <w:p>
      <w:pPr>
        <w:widowControl/>
        <w:shd w:val="clear" w:color="auto" w:fill="FFFFFF"/>
        <w:jc w:val="center"/>
        <w:rPr>
          <w:rFonts w:ascii="方正小标宋_GBK" w:hAnsi="微软雅黑" w:eastAsia="方正小标宋_GBK" w:cs="宋体"/>
          <w:color w:val="000000" w:themeColor="text1"/>
          <w:kern w:val="0"/>
          <w:sz w:val="44"/>
          <w:szCs w:val="44"/>
        </w:rPr>
      </w:pPr>
      <w:r>
        <w:rPr>
          <w:rFonts w:hint="eastAsia" w:ascii="方正小标宋_GBK" w:hAnsi="微软雅黑" w:eastAsia="方正小标宋_GBK" w:cs="宋体"/>
          <w:color w:val="000000" w:themeColor="text1"/>
          <w:kern w:val="0"/>
          <w:sz w:val="44"/>
          <w:szCs w:val="44"/>
        </w:rPr>
        <w:t>2020年政府信息公开工作年度报告</w:t>
      </w:r>
    </w:p>
    <w:bookmarkEnd w:id="0"/>
    <w:p>
      <w:pPr>
        <w:widowControl/>
        <w:shd w:val="clear" w:color="auto" w:fill="FFFFFF"/>
        <w:ind w:firstLine="440" w:firstLineChars="200"/>
        <w:jc w:val="left"/>
        <w:rPr>
          <w:rFonts w:ascii="宋体" w:hAnsi="宋体" w:eastAsia="宋体" w:cs="宋体"/>
          <w:color w:val="666666"/>
          <w:kern w:val="0"/>
          <w:sz w:val="22"/>
          <w:szCs w:val="22"/>
        </w:rPr>
      </w:pPr>
    </w:p>
    <w:p>
      <w:pPr>
        <w:widowControl/>
        <w:shd w:val="clear" w:color="auto" w:fill="FFFFFF"/>
        <w:ind w:firstLine="640" w:firstLineChars="200"/>
        <w:jc w:val="left"/>
        <w:rPr>
          <w:rFonts w:ascii="仿宋" w:hAnsi="仿宋" w:eastAsia="仿宋"/>
          <w:color w:val="000000"/>
          <w:sz w:val="32"/>
          <w:shd w:val="clear" w:color="auto" w:fill="FFFFFF"/>
        </w:rPr>
      </w:pPr>
      <w:r>
        <w:rPr>
          <w:rFonts w:hint="eastAsia" w:ascii="仿宋" w:hAnsi="仿宋" w:eastAsia="仿宋"/>
          <w:color w:val="000000"/>
          <w:sz w:val="32"/>
          <w:shd w:val="clear" w:color="auto" w:fill="FFFFFF"/>
        </w:rPr>
        <w:t>本报告依据《中华人民共和国政府信息公开条例》（以下简称《条例》）和《青海省实施〈中华人民共和国政府信息公开条例〉办法》（以下简称《实施办法》）要求编制。报告中所列数据的统计期限自</w:t>
      </w:r>
      <w:r>
        <w:rPr>
          <w:rFonts w:ascii="Times New Roman" w:hAnsi="Times New Roman" w:cs="Times New Roman"/>
          <w:color w:val="000000"/>
          <w:sz w:val="32"/>
          <w:shd w:val="clear" w:color="auto" w:fill="FFFFFF"/>
        </w:rPr>
        <w:t>2020</w:t>
      </w:r>
      <w:r>
        <w:rPr>
          <w:rFonts w:hint="eastAsia" w:ascii="仿宋" w:hAnsi="仿宋" w:eastAsia="仿宋"/>
          <w:color w:val="000000"/>
          <w:sz w:val="32"/>
          <w:shd w:val="clear" w:color="auto" w:fill="FFFFFF"/>
        </w:rPr>
        <w:t>年</w:t>
      </w:r>
      <w:r>
        <w:rPr>
          <w:rFonts w:ascii="Times New Roman" w:hAnsi="Times New Roman" w:cs="Times New Roman"/>
          <w:color w:val="000000"/>
          <w:sz w:val="32"/>
          <w:shd w:val="clear" w:color="auto" w:fill="FFFFFF"/>
        </w:rPr>
        <w:t>1</w:t>
      </w:r>
      <w:r>
        <w:rPr>
          <w:rFonts w:hint="eastAsia" w:ascii="仿宋" w:hAnsi="仿宋" w:eastAsia="仿宋"/>
          <w:color w:val="000000"/>
          <w:sz w:val="32"/>
          <w:shd w:val="clear" w:color="auto" w:fill="FFFFFF"/>
        </w:rPr>
        <w:t>月</w:t>
      </w:r>
      <w:r>
        <w:rPr>
          <w:rFonts w:ascii="Times New Roman" w:hAnsi="Times New Roman" w:cs="Times New Roman"/>
          <w:color w:val="000000"/>
          <w:sz w:val="32"/>
          <w:shd w:val="clear" w:color="auto" w:fill="FFFFFF"/>
        </w:rPr>
        <w:t>1</w:t>
      </w:r>
      <w:r>
        <w:rPr>
          <w:rFonts w:hint="eastAsia" w:ascii="仿宋" w:hAnsi="仿宋" w:eastAsia="仿宋"/>
          <w:color w:val="000000"/>
          <w:sz w:val="32"/>
          <w:shd w:val="clear" w:color="auto" w:fill="FFFFFF"/>
        </w:rPr>
        <w:t>日起，至</w:t>
      </w:r>
      <w:r>
        <w:rPr>
          <w:rFonts w:ascii="Times New Roman" w:hAnsi="Times New Roman" w:cs="Times New Roman"/>
          <w:color w:val="000000"/>
          <w:sz w:val="32"/>
          <w:shd w:val="clear" w:color="auto" w:fill="FFFFFF"/>
        </w:rPr>
        <w:t>2020</w:t>
      </w:r>
      <w:r>
        <w:rPr>
          <w:rFonts w:hint="eastAsia" w:ascii="仿宋" w:hAnsi="仿宋" w:eastAsia="仿宋"/>
          <w:color w:val="000000"/>
          <w:sz w:val="32"/>
          <w:shd w:val="clear" w:color="auto" w:fill="FFFFFF"/>
        </w:rPr>
        <w:t>年</w:t>
      </w:r>
      <w:r>
        <w:rPr>
          <w:rFonts w:ascii="Times New Roman" w:hAnsi="Times New Roman" w:cs="Times New Roman"/>
          <w:color w:val="000000"/>
          <w:sz w:val="32"/>
          <w:shd w:val="clear" w:color="auto" w:fill="FFFFFF"/>
        </w:rPr>
        <w:t>12</w:t>
      </w:r>
      <w:r>
        <w:rPr>
          <w:rFonts w:hint="eastAsia" w:ascii="仿宋" w:hAnsi="仿宋" w:eastAsia="仿宋"/>
          <w:color w:val="000000"/>
          <w:sz w:val="32"/>
          <w:shd w:val="clear" w:color="auto" w:fill="FFFFFF"/>
        </w:rPr>
        <w:t>月</w:t>
      </w:r>
      <w:r>
        <w:rPr>
          <w:rFonts w:ascii="Times New Roman" w:hAnsi="Times New Roman" w:cs="Times New Roman"/>
          <w:color w:val="000000"/>
          <w:sz w:val="32"/>
          <w:shd w:val="clear" w:color="auto" w:fill="FFFFFF"/>
        </w:rPr>
        <w:t>31</w:t>
      </w:r>
      <w:r>
        <w:rPr>
          <w:rFonts w:hint="eastAsia" w:ascii="仿宋" w:hAnsi="仿宋" w:eastAsia="仿宋"/>
          <w:color w:val="000000"/>
          <w:sz w:val="32"/>
          <w:shd w:val="clear" w:color="auto" w:fill="FFFFFF"/>
        </w:rPr>
        <w:t>日止。对本报告如有疑问，请联系：</w:t>
      </w:r>
      <w:r>
        <w:rPr>
          <w:rFonts w:hint="eastAsia" w:ascii="仿宋" w:hAnsi="仿宋" w:eastAsia="仿宋"/>
          <w:color w:val="000000"/>
          <w:sz w:val="32"/>
          <w:shd w:val="clear" w:color="auto" w:fill="FFFFFF"/>
          <w:lang w:eastAsia="zh-CN"/>
        </w:rPr>
        <w:t>县自然资源局综合办公室（</w:t>
      </w:r>
      <w:r>
        <w:rPr>
          <w:rFonts w:hint="eastAsia" w:ascii="仿宋" w:hAnsi="仿宋" w:eastAsia="仿宋"/>
          <w:color w:val="000000"/>
          <w:sz w:val="32"/>
          <w:shd w:val="clear" w:color="auto" w:fill="FFFFFF"/>
        </w:rPr>
        <w:t>0973-</w:t>
      </w:r>
      <w:r>
        <w:rPr>
          <w:rFonts w:hint="eastAsia" w:ascii="仿宋" w:hAnsi="仿宋" w:eastAsia="仿宋"/>
          <w:color w:val="000000"/>
          <w:sz w:val="32"/>
          <w:shd w:val="clear" w:color="auto" w:fill="FFFFFF"/>
          <w:lang w:val="en-US" w:eastAsia="zh-CN"/>
        </w:rPr>
        <w:t>8734492</w:t>
      </w:r>
      <w:r>
        <w:rPr>
          <w:rFonts w:hint="eastAsia" w:ascii="仿宋" w:hAnsi="仿宋" w:eastAsia="仿宋"/>
          <w:color w:val="000000"/>
          <w:sz w:val="32"/>
          <w:shd w:val="clear" w:color="auto" w:fill="FFFFFF"/>
        </w:rPr>
        <w:t xml:space="preserve"> </w:t>
      </w:r>
      <w:r>
        <w:rPr>
          <w:rFonts w:hint="eastAsia" w:ascii="仿宋" w:hAnsi="仿宋" w:eastAsia="仿宋"/>
          <w:color w:val="000000"/>
          <w:sz w:val="32"/>
          <w:shd w:val="clear" w:color="auto" w:fill="FFFFFF"/>
          <w:lang w:eastAsia="zh-CN"/>
        </w:rPr>
        <w:t>）</w:t>
      </w:r>
      <w:r>
        <w:rPr>
          <w:rFonts w:hint="eastAsia" w:ascii="仿宋" w:hAnsi="仿宋" w:eastAsia="仿宋"/>
          <w:color w:val="000000"/>
          <w:sz w:val="32"/>
          <w:shd w:val="clear" w:color="auto" w:fill="FFFFFF"/>
        </w:rPr>
        <w:t>。</w:t>
      </w:r>
    </w:p>
    <w:p>
      <w:pPr>
        <w:widowControl/>
        <w:shd w:val="clear" w:color="auto" w:fill="FFFFFF"/>
        <w:ind w:firstLine="640" w:firstLineChars="200"/>
        <w:jc w:val="left"/>
        <w:rPr>
          <w:rFonts w:ascii="黑体" w:hAnsi="黑体" w:eastAsia="黑体" w:cs="宋体"/>
          <w:color w:val="000000"/>
          <w:kern w:val="0"/>
          <w:sz w:val="32"/>
        </w:rPr>
      </w:pPr>
      <w:r>
        <w:rPr>
          <w:rFonts w:hint="eastAsia" w:ascii="黑体" w:hAnsi="黑体" w:eastAsia="黑体" w:cs="宋体"/>
          <w:color w:val="000000"/>
          <w:kern w:val="0"/>
          <w:sz w:val="32"/>
        </w:rPr>
        <w:t>一、总体情况</w:t>
      </w:r>
    </w:p>
    <w:p>
      <w:pPr>
        <w:widowControl/>
        <w:shd w:val="clear" w:color="auto" w:fill="FFFFFF"/>
        <w:ind w:firstLine="643" w:firstLineChars="200"/>
        <w:jc w:val="left"/>
        <w:rPr>
          <w:rFonts w:hint="eastAsia" w:ascii="楷体" w:hAnsi="楷体" w:eastAsia="楷体" w:cs="楷体"/>
          <w:b/>
          <w:bCs/>
          <w:color w:val="000000"/>
          <w:kern w:val="0"/>
          <w:sz w:val="32"/>
        </w:rPr>
      </w:pPr>
      <w:r>
        <w:rPr>
          <w:rFonts w:hint="eastAsia" w:ascii="楷体" w:hAnsi="楷体" w:eastAsia="楷体" w:cs="楷体"/>
          <w:b/>
          <w:bCs/>
          <w:color w:val="000000"/>
          <w:kern w:val="0"/>
          <w:sz w:val="32"/>
        </w:rPr>
        <w:t>（一）加强领导，积极落实</w:t>
      </w:r>
    </w:p>
    <w:p>
      <w:pPr>
        <w:widowControl/>
        <w:shd w:val="clear" w:color="auto" w:fill="FFFFFF"/>
        <w:ind w:firstLine="640" w:firstLineChars="200"/>
        <w:jc w:val="left"/>
        <w:rPr>
          <w:rFonts w:hint="eastAsia" w:ascii="仿宋_GB2312" w:hAnsi="仿宋_GB2312" w:eastAsia="仿宋_GB2312" w:cs="仿宋_GB2312"/>
          <w:color w:val="000000"/>
          <w:kern w:val="0"/>
          <w:sz w:val="32"/>
        </w:rPr>
      </w:pPr>
      <w:r>
        <w:rPr>
          <w:rFonts w:hint="eastAsia" w:ascii="仿宋_GB2312" w:hAnsi="仿宋_GB2312" w:eastAsia="仿宋_GB2312" w:cs="仿宋_GB2312"/>
          <w:color w:val="000000"/>
          <w:kern w:val="0"/>
          <w:sz w:val="32"/>
        </w:rPr>
        <w:t>为确保政务公开工作有效运行，进一步提高和加大政务公开工作的领导力度，我局成立了以</w:t>
      </w:r>
      <w:r>
        <w:rPr>
          <w:rFonts w:hint="eastAsia" w:ascii="仿宋_GB2312" w:hAnsi="仿宋_GB2312" w:eastAsia="仿宋_GB2312" w:cs="仿宋_GB2312"/>
          <w:color w:val="000000"/>
          <w:kern w:val="0"/>
          <w:sz w:val="32"/>
          <w:lang w:eastAsia="zh-CN"/>
        </w:rPr>
        <w:t>局长</w:t>
      </w:r>
      <w:r>
        <w:rPr>
          <w:rFonts w:hint="eastAsia" w:ascii="仿宋_GB2312" w:hAnsi="仿宋_GB2312" w:eastAsia="仿宋_GB2312" w:cs="仿宋_GB2312"/>
          <w:color w:val="000000"/>
          <w:kern w:val="0"/>
          <w:sz w:val="32"/>
        </w:rPr>
        <w:t>为组长，</w:t>
      </w:r>
      <w:r>
        <w:rPr>
          <w:rFonts w:hint="eastAsia" w:ascii="仿宋_GB2312" w:hAnsi="仿宋_GB2312" w:eastAsia="仿宋_GB2312" w:cs="仿宋_GB2312"/>
          <w:color w:val="000000"/>
          <w:kern w:val="0"/>
          <w:sz w:val="32"/>
          <w:lang w:eastAsia="zh-CN"/>
        </w:rPr>
        <w:t>其他</w:t>
      </w:r>
      <w:r>
        <w:rPr>
          <w:rFonts w:hint="eastAsia" w:ascii="仿宋_GB2312" w:hAnsi="仿宋_GB2312" w:eastAsia="仿宋_GB2312" w:cs="仿宋_GB2312"/>
          <w:color w:val="000000"/>
          <w:kern w:val="0"/>
          <w:sz w:val="32"/>
        </w:rPr>
        <w:t>班子成员为副组长，</w:t>
      </w:r>
      <w:r>
        <w:rPr>
          <w:rFonts w:hint="eastAsia" w:ascii="仿宋_GB2312" w:hAnsi="仿宋_GB2312" w:eastAsia="仿宋_GB2312" w:cs="仿宋_GB2312"/>
          <w:color w:val="000000"/>
          <w:kern w:val="0"/>
          <w:sz w:val="32"/>
          <w:lang w:eastAsia="zh-CN"/>
        </w:rPr>
        <w:t>局属各单位、各办公室</w:t>
      </w:r>
      <w:r>
        <w:rPr>
          <w:rFonts w:hint="eastAsia" w:ascii="仿宋_GB2312" w:hAnsi="仿宋_GB2312" w:eastAsia="仿宋_GB2312" w:cs="仿宋_GB2312"/>
          <w:color w:val="000000"/>
          <w:kern w:val="0"/>
          <w:sz w:val="32"/>
        </w:rPr>
        <w:t>负责人为成员的领导小组，领导小组下设办公室，</w:t>
      </w:r>
      <w:r>
        <w:rPr>
          <w:rFonts w:hint="eastAsia" w:ascii="仿宋_GB2312" w:hAnsi="仿宋_GB2312" w:eastAsia="仿宋_GB2312" w:cs="仿宋_GB2312"/>
          <w:color w:val="000000"/>
          <w:kern w:val="0"/>
          <w:sz w:val="32"/>
          <w:lang w:eastAsia="zh-CN"/>
        </w:rPr>
        <w:t>办公室设在综合办公室，分管副局长担任办公室主任，</w:t>
      </w:r>
      <w:r>
        <w:rPr>
          <w:rFonts w:hint="eastAsia" w:ascii="仿宋_GB2312" w:hAnsi="仿宋_GB2312" w:eastAsia="仿宋_GB2312" w:cs="仿宋_GB2312"/>
          <w:color w:val="000000"/>
          <w:kern w:val="0"/>
          <w:sz w:val="32"/>
        </w:rPr>
        <w:t>负责政务公开工作，紧紧围绕中心工作，按照公开、透明、准确的原则，规范信息的采集，审核和发布流程，保障了我局政务公开工作的顺利开展。</w:t>
      </w:r>
    </w:p>
    <w:p>
      <w:pPr>
        <w:widowControl/>
        <w:shd w:val="clear" w:color="auto" w:fill="FFFFFF"/>
        <w:ind w:firstLine="643" w:firstLineChars="200"/>
        <w:jc w:val="left"/>
        <w:rPr>
          <w:rFonts w:hint="eastAsia" w:ascii="楷体" w:hAnsi="楷体" w:eastAsia="楷体" w:cs="楷体"/>
          <w:b/>
          <w:bCs/>
          <w:color w:val="000000"/>
          <w:kern w:val="0"/>
          <w:sz w:val="32"/>
        </w:rPr>
      </w:pPr>
      <w:r>
        <w:rPr>
          <w:rFonts w:hint="eastAsia" w:ascii="楷体" w:hAnsi="楷体" w:eastAsia="楷体" w:cs="楷体"/>
          <w:b/>
          <w:bCs/>
          <w:color w:val="000000"/>
          <w:kern w:val="0"/>
          <w:sz w:val="32"/>
        </w:rPr>
        <w:t>（二）主动公开，严格程序</w:t>
      </w:r>
    </w:p>
    <w:p>
      <w:pPr>
        <w:widowControl/>
        <w:shd w:val="clear" w:color="auto" w:fill="FFFFFF"/>
        <w:ind w:firstLine="640" w:firstLineChars="200"/>
        <w:jc w:val="left"/>
        <w:rPr>
          <w:rFonts w:hint="eastAsia" w:ascii="仿宋_GB2312" w:hAnsi="仿宋_GB2312" w:eastAsia="仿宋_GB2312" w:cs="仿宋_GB2312"/>
          <w:color w:val="000000"/>
          <w:kern w:val="0"/>
          <w:sz w:val="32"/>
        </w:rPr>
      </w:pPr>
      <w:r>
        <w:rPr>
          <w:rFonts w:hint="eastAsia" w:ascii="仿宋_GB2312" w:hAnsi="仿宋_GB2312" w:eastAsia="仿宋_GB2312" w:cs="仿宋_GB2312"/>
          <w:color w:val="000000"/>
          <w:kern w:val="0"/>
          <w:sz w:val="32"/>
        </w:rPr>
        <w:t>我局严格围绕县委、县政府重大决策部署的推进落实，结合2020年全县政务公开服务工作要点，全面推进政务公开。同时严格按照《中华人民共和国政府信息公开条例》的规定，防止涉密信息上网，做到“涉密信息不上网，上网信息不涉密”。</w:t>
      </w:r>
    </w:p>
    <w:p>
      <w:pPr>
        <w:widowControl/>
        <w:shd w:val="clear" w:color="auto" w:fill="FFFFFF"/>
        <w:ind w:firstLine="640" w:firstLineChars="200"/>
        <w:jc w:val="left"/>
        <w:rPr>
          <w:rFonts w:hint="eastAsia" w:ascii="仿宋_GB2312" w:hAnsi="仿宋_GB2312" w:eastAsia="仿宋_GB2312" w:cs="仿宋_GB2312"/>
          <w:color w:val="000000"/>
          <w:kern w:val="0"/>
          <w:sz w:val="32"/>
        </w:rPr>
      </w:pPr>
    </w:p>
    <w:p>
      <w:pPr>
        <w:widowControl/>
        <w:shd w:val="clear" w:color="auto" w:fill="FFFFFF"/>
        <w:ind w:firstLine="643" w:firstLineChars="200"/>
        <w:jc w:val="left"/>
        <w:rPr>
          <w:rFonts w:hint="eastAsia" w:ascii="楷体" w:hAnsi="楷体" w:eastAsia="楷体" w:cs="楷体"/>
          <w:b/>
          <w:bCs/>
          <w:color w:val="000000"/>
          <w:kern w:val="0"/>
          <w:sz w:val="32"/>
        </w:rPr>
      </w:pPr>
      <w:r>
        <w:rPr>
          <w:rFonts w:hint="eastAsia" w:ascii="楷体" w:hAnsi="楷体" w:eastAsia="楷体" w:cs="楷体"/>
          <w:b/>
          <w:bCs/>
          <w:color w:val="000000"/>
          <w:kern w:val="0"/>
          <w:sz w:val="32"/>
        </w:rPr>
        <w:t>（三）加大宣传，分解任务</w:t>
      </w:r>
    </w:p>
    <w:p>
      <w:pPr>
        <w:widowControl/>
        <w:shd w:val="clear" w:color="auto" w:fill="FFFFFF"/>
        <w:ind w:firstLine="640" w:firstLineChars="200"/>
        <w:jc w:val="left"/>
        <w:rPr>
          <w:rFonts w:hint="eastAsia" w:ascii="仿宋_GB2312" w:hAnsi="仿宋_GB2312" w:eastAsia="仿宋_GB2312" w:cs="仿宋_GB2312"/>
          <w:color w:val="000000"/>
          <w:kern w:val="0"/>
          <w:sz w:val="32"/>
        </w:rPr>
      </w:pPr>
      <w:r>
        <w:rPr>
          <w:rFonts w:hint="eastAsia" w:ascii="仿宋_GB2312" w:hAnsi="仿宋_GB2312" w:eastAsia="仿宋_GB2312" w:cs="仿宋_GB2312"/>
          <w:color w:val="000000"/>
          <w:kern w:val="0"/>
          <w:sz w:val="32"/>
        </w:rPr>
        <w:t>我局指定专人负责信息发布，为服务对象提供全面、大量、及时的信息。我局开展的各类活动、会议等信息均能以较快的速度撰写并同时发布</w:t>
      </w:r>
      <w:r>
        <w:rPr>
          <w:rFonts w:hint="eastAsia" w:ascii="仿宋_GB2312" w:hAnsi="仿宋_GB2312" w:eastAsia="仿宋_GB2312" w:cs="仿宋_GB2312"/>
          <w:color w:val="000000"/>
          <w:kern w:val="0"/>
          <w:sz w:val="32"/>
          <w:lang w:eastAsia="zh-CN"/>
        </w:rPr>
        <w:t>在尖扎宣传、尖扎融媒等媒体上</w:t>
      </w:r>
      <w:r>
        <w:rPr>
          <w:rFonts w:hint="eastAsia" w:ascii="仿宋_GB2312" w:hAnsi="仿宋_GB2312" w:eastAsia="仿宋_GB2312" w:cs="仿宋_GB2312"/>
          <w:color w:val="000000"/>
          <w:kern w:val="0"/>
          <w:sz w:val="32"/>
        </w:rPr>
        <w:t>。为了有效加强我局政府信息和新闻宣传的工作力度，调动广大干部职工从事信息宣传工作的积极性，我局对信息宣传工作进行了目标任务分解，具体到各业务股室及局属各单位。</w:t>
      </w:r>
    </w:p>
    <w:p>
      <w:pPr>
        <w:widowControl/>
        <w:shd w:val="clear" w:color="auto" w:fill="FFFFFF"/>
        <w:ind w:firstLine="643" w:firstLineChars="200"/>
        <w:jc w:val="left"/>
        <w:rPr>
          <w:rFonts w:hint="eastAsia" w:ascii="楷体" w:hAnsi="楷体" w:eastAsia="楷体" w:cs="楷体"/>
          <w:b/>
          <w:bCs/>
          <w:color w:val="000000"/>
          <w:kern w:val="0"/>
          <w:sz w:val="32"/>
        </w:rPr>
      </w:pPr>
      <w:r>
        <w:rPr>
          <w:rFonts w:hint="eastAsia" w:ascii="楷体" w:hAnsi="楷体" w:eastAsia="楷体" w:cs="楷体"/>
          <w:b/>
          <w:bCs/>
          <w:color w:val="000000"/>
          <w:kern w:val="0"/>
          <w:sz w:val="32"/>
        </w:rPr>
        <w:t>（四）明确重点，深化公开</w:t>
      </w:r>
    </w:p>
    <w:p>
      <w:pPr>
        <w:widowControl/>
        <w:shd w:val="clear" w:color="auto" w:fill="FFFFFF"/>
        <w:ind w:firstLine="643" w:firstLineChars="200"/>
        <w:jc w:val="left"/>
        <w:rPr>
          <w:rFonts w:hint="eastAsia" w:ascii="仿宋_GB2312" w:hAnsi="仿宋_GB2312" w:eastAsia="仿宋_GB2312" w:cs="仿宋_GB2312"/>
          <w:color w:val="000000"/>
          <w:kern w:val="0"/>
          <w:sz w:val="32"/>
        </w:rPr>
      </w:pPr>
      <w:r>
        <w:rPr>
          <w:rFonts w:hint="eastAsia" w:ascii="仿宋_GB2312" w:hAnsi="仿宋_GB2312" w:eastAsia="仿宋_GB2312" w:cs="仿宋_GB2312"/>
          <w:b/>
          <w:bCs/>
          <w:color w:val="000000"/>
          <w:kern w:val="0"/>
          <w:sz w:val="32"/>
        </w:rPr>
        <w:t>一是</w:t>
      </w:r>
      <w:r>
        <w:rPr>
          <w:rFonts w:hint="eastAsia" w:ascii="仿宋_GB2312" w:hAnsi="仿宋_GB2312" w:eastAsia="仿宋_GB2312" w:cs="仿宋_GB2312"/>
          <w:color w:val="000000"/>
          <w:kern w:val="0"/>
          <w:sz w:val="32"/>
        </w:rPr>
        <w:t>突出重点领域公开。认真落实自然资源部门职责，切实加强土地征收、国有建设用地使用权出让和地质灾害应急等自然资源部门承担的重要领域信息公开。</w:t>
      </w:r>
      <w:r>
        <w:rPr>
          <w:rFonts w:hint="eastAsia" w:ascii="仿宋_GB2312" w:hAnsi="仿宋_GB2312" w:eastAsia="仿宋_GB2312" w:cs="仿宋_GB2312"/>
          <w:b/>
          <w:bCs/>
          <w:color w:val="000000"/>
          <w:kern w:val="0"/>
          <w:sz w:val="32"/>
        </w:rPr>
        <w:t>二是</w:t>
      </w:r>
      <w:r>
        <w:rPr>
          <w:rFonts w:hint="eastAsia" w:ascii="仿宋_GB2312" w:hAnsi="仿宋_GB2312" w:eastAsia="仿宋_GB2312" w:cs="仿宋_GB2312"/>
          <w:color w:val="000000"/>
          <w:kern w:val="0"/>
          <w:sz w:val="32"/>
        </w:rPr>
        <w:t>拓宽信息公开渠道。我局大力推进政务公开，完善政府信息公开指导目录，深化公开内容，拓展公开渠道，使政务公开更加方便群众、更好地服务自然资源事业。积极通过县政府门户网站、</w:t>
      </w:r>
      <w:r>
        <w:rPr>
          <w:rFonts w:hint="eastAsia" w:ascii="仿宋_GB2312" w:hAnsi="仿宋_GB2312" w:eastAsia="仿宋_GB2312" w:cs="仿宋_GB2312"/>
          <w:color w:val="000000"/>
          <w:kern w:val="0"/>
          <w:sz w:val="32"/>
          <w:lang w:eastAsia="zh-CN"/>
        </w:rPr>
        <w:t>微信公众号</w:t>
      </w:r>
      <w:r>
        <w:rPr>
          <w:rFonts w:hint="eastAsia" w:ascii="仿宋_GB2312" w:hAnsi="仿宋_GB2312" w:eastAsia="仿宋_GB2312" w:cs="仿宋_GB2312"/>
          <w:color w:val="000000"/>
          <w:kern w:val="0"/>
          <w:sz w:val="32"/>
        </w:rPr>
        <w:t>等形式报道发布政府公开信息，接受社会和舆论监督。</w:t>
      </w:r>
    </w:p>
    <w:p>
      <w:pPr>
        <w:widowControl/>
        <w:shd w:val="clear" w:color="auto" w:fill="FFFFFF"/>
        <w:ind w:firstLine="640" w:firstLineChars="200"/>
        <w:jc w:val="left"/>
        <w:rPr>
          <w:rFonts w:ascii="黑体" w:hAnsi="黑体" w:eastAsia="黑体" w:cs="宋体"/>
          <w:color w:val="000000"/>
          <w:kern w:val="0"/>
          <w:sz w:val="32"/>
        </w:rPr>
      </w:pPr>
      <w:r>
        <w:rPr>
          <w:rFonts w:hint="eastAsia" w:ascii="黑体" w:hAnsi="黑体" w:eastAsia="黑体" w:cs="宋体"/>
          <w:color w:val="000000"/>
          <w:kern w:val="0"/>
          <w:sz w:val="32"/>
        </w:rPr>
        <w:t>二、主动公开政府信息情况</w:t>
      </w:r>
    </w:p>
    <w:tbl>
      <w:tblPr>
        <w:tblStyle w:val="5"/>
        <w:tblW w:w="10206"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438"/>
        <w:gridCol w:w="1091"/>
        <w:gridCol w:w="2024"/>
        <w:gridCol w:w="1043"/>
        <w:gridCol w:w="1209"/>
        <w:gridCol w:w="240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10206" w:type="dxa"/>
            <w:gridSpan w:val="6"/>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b/>
                <w:bCs/>
                <w:kern w:val="0"/>
                <w:sz w:val="22"/>
                <w:szCs w:val="22"/>
              </w:rPr>
              <w:t>第二十条第（一）项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243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信息内容</w:t>
            </w:r>
          </w:p>
        </w:tc>
        <w:tc>
          <w:tcPr>
            <w:tcW w:w="3115"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本年新制作数量</w:t>
            </w:r>
          </w:p>
        </w:tc>
        <w:tc>
          <w:tcPr>
            <w:tcW w:w="2252"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本年新公开数量</w:t>
            </w:r>
          </w:p>
        </w:tc>
        <w:tc>
          <w:tcPr>
            <w:tcW w:w="240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对外公开总数量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243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规章</w:t>
            </w:r>
          </w:p>
        </w:tc>
        <w:tc>
          <w:tcPr>
            <w:tcW w:w="3115"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r>
              <w:rPr>
                <w:rFonts w:hint="eastAsia" w:ascii="仿宋_GB2312" w:hAnsi="宋体" w:eastAsia="仿宋_GB2312" w:cs="宋体"/>
                <w:kern w:val="0"/>
                <w:sz w:val="22"/>
                <w:szCs w:val="22"/>
              </w:rPr>
              <w:t xml:space="preserve"> </w:t>
            </w:r>
          </w:p>
        </w:tc>
        <w:tc>
          <w:tcPr>
            <w:tcW w:w="2252"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r>
              <w:rPr>
                <w:rFonts w:hint="eastAsia" w:ascii="仿宋_GB2312" w:hAnsi="宋体" w:eastAsia="仿宋_GB2312" w:cs="宋体"/>
                <w:kern w:val="0"/>
                <w:sz w:val="22"/>
                <w:szCs w:val="22"/>
              </w:rPr>
              <w:t xml:space="preserve"> </w:t>
            </w:r>
          </w:p>
        </w:tc>
        <w:tc>
          <w:tcPr>
            <w:tcW w:w="240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rPr>
              <w:t xml:space="preserve"> </w:t>
            </w: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243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规范性文件</w:t>
            </w:r>
          </w:p>
        </w:tc>
        <w:tc>
          <w:tcPr>
            <w:tcW w:w="3115"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rPr>
              <w:t xml:space="preserve"> </w:t>
            </w:r>
            <w:r>
              <w:rPr>
                <w:rFonts w:hint="eastAsia" w:ascii="仿宋_GB2312" w:hAnsi="宋体" w:eastAsia="仿宋_GB2312" w:cs="宋体"/>
                <w:kern w:val="0"/>
                <w:sz w:val="22"/>
                <w:szCs w:val="22"/>
                <w:lang w:val="en-US" w:eastAsia="zh-CN"/>
              </w:rPr>
              <w:t>0</w:t>
            </w:r>
          </w:p>
        </w:tc>
        <w:tc>
          <w:tcPr>
            <w:tcW w:w="2252"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rPr>
              <w:t xml:space="preserve"> </w:t>
            </w:r>
            <w:r>
              <w:rPr>
                <w:rFonts w:hint="eastAsia" w:ascii="仿宋_GB2312" w:hAnsi="宋体" w:eastAsia="仿宋_GB2312" w:cs="宋体"/>
                <w:kern w:val="0"/>
                <w:sz w:val="22"/>
                <w:szCs w:val="22"/>
                <w:lang w:val="en-US" w:eastAsia="zh-CN"/>
              </w:rPr>
              <w:t>0</w:t>
            </w:r>
          </w:p>
        </w:tc>
        <w:tc>
          <w:tcPr>
            <w:tcW w:w="240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0</w:t>
            </w:r>
            <w:r>
              <w:rPr>
                <w:rFonts w:hint="eastAsia" w:ascii="仿宋_GB2312" w:hAnsi="宋体" w:eastAsia="仿宋_GB2312" w:cs="宋体"/>
                <w:kern w:val="0"/>
                <w:sz w:val="22"/>
                <w:szCs w:val="22"/>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10206" w:type="dxa"/>
            <w:gridSpan w:val="6"/>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b/>
                <w:bCs/>
                <w:kern w:val="0"/>
                <w:sz w:val="22"/>
                <w:szCs w:val="22"/>
              </w:rPr>
              <w:t>第二十条第（五）项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243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信息内容</w:t>
            </w:r>
          </w:p>
        </w:tc>
        <w:tc>
          <w:tcPr>
            <w:tcW w:w="3115"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上一年项目数量</w:t>
            </w:r>
          </w:p>
        </w:tc>
        <w:tc>
          <w:tcPr>
            <w:tcW w:w="2252"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本年增/减</w:t>
            </w:r>
          </w:p>
        </w:tc>
        <w:tc>
          <w:tcPr>
            <w:tcW w:w="240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处理决定数量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243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行政许可</w:t>
            </w:r>
          </w:p>
        </w:tc>
        <w:tc>
          <w:tcPr>
            <w:tcW w:w="3115"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color w:val="000000" w:themeColor="text1"/>
                <w:kern w:val="0"/>
                <w:sz w:val="22"/>
                <w:szCs w:val="22"/>
                <w:lang w:val="en-US" w:eastAsia="zh-CN"/>
                <w14:textFill>
                  <w14:solidFill>
                    <w14:schemeClr w14:val="tx1"/>
                  </w14:solidFill>
                </w14:textFill>
              </w:rPr>
            </w:pPr>
            <w:r>
              <w:rPr>
                <w:rFonts w:hint="eastAsia" w:ascii="仿宋_GB2312" w:hAnsi="宋体" w:eastAsia="仿宋_GB2312" w:cs="宋体"/>
                <w:color w:val="000000" w:themeColor="text1"/>
                <w:kern w:val="0"/>
                <w:sz w:val="22"/>
                <w:szCs w:val="22"/>
                <w:lang w:val="en-US" w:eastAsia="zh-CN"/>
                <w14:textFill>
                  <w14:solidFill>
                    <w14:schemeClr w14:val="tx1"/>
                  </w14:solidFill>
                </w14:textFill>
              </w:rPr>
              <w:t>6</w:t>
            </w:r>
          </w:p>
        </w:tc>
        <w:tc>
          <w:tcPr>
            <w:tcW w:w="2252"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仿宋_GB2312" w:hAnsi="宋体" w:eastAsia="仿宋_GB2312" w:cs="宋体"/>
                <w:color w:val="000000" w:themeColor="text1"/>
                <w:kern w:val="0"/>
                <w:sz w:val="22"/>
                <w:szCs w:val="22"/>
                <w:lang w:val="en-US" w:eastAsia="zh-CN"/>
                <w14:textFill>
                  <w14:solidFill>
                    <w14:schemeClr w14:val="tx1"/>
                  </w14:solidFill>
                </w14:textFill>
              </w:rPr>
            </w:pPr>
            <w:r>
              <w:rPr>
                <w:rFonts w:hint="eastAsia" w:ascii="仿宋_GB2312" w:hAnsi="宋体" w:eastAsia="仿宋_GB2312" w:cs="宋体"/>
                <w:color w:val="000000" w:themeColor="text1"/>
                <w:kern w:val="0"/>
                <w:sz w:val="22"/>
                <w:szCs w:val="22"/>
                <w:lang w:val="en-US" w:eastAsia="zh-CN"/>
                <w14:textFill>
                  <w14:solidFill>
                    <w14:schemeClr w14:val="tx1"/>
                  </w14:solidFill>
                </w14:textFill>
              </w:rPr>
              <w:t>11</w:t>
            </w:r>
          </w:p>
        </w:tc>
        <w:tc>
          <w:tcPr>
            <w:tcW w:w="240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仿宋_GB2312" w:hAnsi="宋体" w:eastAsia="仿宋_GB2312" w:cs="宋体"/>
                <w:color w:val="000000" w:themeColor="text1"/>
                <w:kern w:val="0"/>
                <w:sz w:val="22"/>
                <w:szCs w:val="22"/>
                <w:lang w:val="en-US" w:eastAsia="zh-CN"/>
                <w14:textFill>
                  <w14:solidFill>
                    <w14:schemeClr w14:val="tx1"/>
                  </w14:solidFill>
                </w14:textFill>
              </w:rPr>
            </w:pPr>
            <w:r>
              <w:rPr>
                <w:rFonts w:hint="eastAsia" w:ascii="仿宋_GB2312" w:hAnsi="宋体" w:eastAsia="仿宋_GB2312" w:cs="宋体"/>
                <w:color w:val="000000" w:themeColor="text1"/>
                <w:kern w:val="0"/>
                <w:sz w:val="22"/>
                <w:szCs w:val="22"/>
                <w:lang w:val="en-US" w:eastAsia="zh-CN"/>
                <w14:textFill>
                  <w14:solidFill>
                    <w14:schemeClr w14:val="tx1"/>
                  </w14:solidFill>
                </w14:textFill>
              </w:rPr>
              <w:t>17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243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其他对外管理服务事项</w:t>
            </w:r>
          </w:p>
        </w:tc>
        <w:tc>
          <w:tcPr>
            <w:tcW w:w="3115"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2252"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240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10206" w:type="dxa"/>
            <w:gridSpan w:val="6"/>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b/>
                <w:bCs/>
                <w:kern w:val="0"/>
                <w:sz w:val="22"/>
                <w:szCs w:val="22"/>
              </w:rPr>
              <w:t>第二十条第（六）项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243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信息内容</w:t>
            </w:r>
          </w:p>
        </w:tc>
        <w:tc>
          <w:tcPr>
            <w:tcW w:w="3115"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上一年项目数量</w:t>
            </w:r>
          </w:p>
        </w:tc>
        <w:tc>
          <w:tcPr>
            <w:tcW w:w="2252"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本年增/减</w:t>
            </w:r>
          </w:p>
        </w:tc>
        <w:tc>
          <w:tcPr>
            <w:tcW w:w="240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处理决定数量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243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行政处罚</w:t>
            </w:r>
          </w:p>
        </w:tc>
        <w:tc>
          <w:tcPr>
            <w:tcW w:w="3115"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10</w:t>
            </w:r>
          </w:p>
        </w:tc>
        <w:tc>
          <w:tcPr>
            <w:tcW w:w="2252"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4</w:t>
            </w:r>
          </w:p>
        </w:tc>
        <w:tc>
          <w:tcPr>
            <w:tcW w:w="240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243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行政强制</w:t>
            </w:r>
          </w:p>
        </w:tc>
        <w:tc>
          <w:tcPr>
            <w:tcW w:w="3115"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2252"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240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10206" w:type="dxa"/>
            <w:gridSpan w:val="6"/>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b/>
                <w:bCs/>
                <w:kern w:val="0"/>
                <w:sz w:val="22"/>
                <w:szCs w:val="22"/>
              </w:rPr>
              <w:t>第二十条第（八）项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3529"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信息内容</w:t>
            </w:r>
          </w:p>
        </w:tc>
        <w:tc>
          <w:tcPr>
            <w:tcW w:w="3067"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上一年项目数量</w:t>
            </w:r>
          </w:p>
        </w:tc>
        <w:tc>
          <w:tcPr>
            <w:tcW w:w="3610"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本年增/减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3529"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行政事业性收费</w:t>
            </w:r>
          </w:p>
        </w:tc>
        <w:tc>
          <w:tcPr>
            <w:tcW w:w="3067"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3610"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10206" w:type="dxa"/>
            <w:gridSpan w:val="6"/>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b/>
                <w:bCs/>
                <w:kern w:val="0"/>
                <w:sz w:val="22"/>
                <w:szCs w:val="22"/>
              </w:rPr>
              <w:t>第二十条第（九）项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3529"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信息内容</w:t>
            </w:r>
          </w:p>
        </w:tc>
        <w:tc>
          <w:tcPr>
            <w:tcW w:w="3067"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采购项目数量</w:t>
            </w:r>
          </w:p>
        </w:tc>
        <w:tc>
          <w:tcPr>
            <w:tcW w:w="3610"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采购总金额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3529"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政府集中采购</w:t>
            </w:r>
          </w:p>
        </w:tc>
        <w:tc>
          <w:tcPr>
            <w:tcW w:w="3067"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3610"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bl>
    <w:p>
      <w:pPr>
        <w:widowControl/>
        <w:shd w:val="clear" w:color="auto" w:fill="FFFFFF"/>
        <w:ind w:firstLine="640" w:firstLineChars="200"/>
        <w:jc w:val="left"/>
        <w:rPr>
          <w:rFonts w:hint="eastAsia" w:ascii="黑体" w:hAnsi="黑体" w:eastAsia="黑体" w:cs="宋体"/>
          <w:color w:val="000000"/>
          <w:kern w:val="0"/>
          <w:sz w:val="32"/>
        </w:rPr>
      </w:pPr>
    </w:p>
    <w:p>
      <w:pPr>
        <w:widowControl/>
        <w:shd w:val="clear" w:color="auto" w:fill="FFFFFF"/>
        <w:ind w:firstLine="640" w:firstLineChars="200"/>
        <w:jc w:val="left"/>
        <w:rPr>
          <w:rFonts w:ascii="黑体" w:hAnsi="黑体" w:eastAsia="黑体" w:cs="宋体"/>
          <w:color w:val="000000"/>
          <w:kern w:val="0"/>
          <w:sz w:val="32"/>
        </w:rPr>
      </w:pPr>
      <w:r>
        <w:rPr>
          <w:rFonts w:hint="eastAsia" w:ascii="黑体" w:hAnsi="黑体" w:eastAsia="黑体" w:cs="宋体"/>
          <w:color w:val="000000"/>
          <w:kern w:val="0"/>
          <w:sz w:val="32"/>
        </w:rPr>
        <w:t>三、收到和处理政府信息公开申请情况</w:t>
      </w:r>
    </w:p>
    <w:tbl>
      <w:tblPr>
        <w:tblStyle w:val="5"/>
        <w:tblW w:w="10206"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539"/>
        <w:gridCol w:w="923"/>
        <w:gridCol w:w="3440"/>
        <w:gridCol w:w="503"/>
        <w:gridCol w:w="688"/>
        <w:gridCol w:w="1041"/>
        <w:gridCol w:w="923"/>
        <w:gridCol w:w="789"/>
        <w:gridCol w:w="571"/>
        <w:gridCol w:w="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4902" w:type="dxa"/>
            <w:gridSpan w:val="3"/>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（本列数据的勾稽关系为：第一项加第二项之和，等于第三项加第四项之和）</w:t>
            </w:r>
          </w:p>
        </w:tc>
        <w:tc>
          <w:tcPr>
            <w:tcW w:w="5304" w:type="dxa"/>
            <w:gridSpan w:val="7"/>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申请人情况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4902"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503"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自然人</w:t>
            </w:r>
          </w:p>
        </w:tc>
        <w:tc>
          <w:tcPr>
            <w:tcW w:w="4012" w:type="dxa"/>
            <w:gridSpan w:val="5"/>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法人或其他组织</w:t>
            </w:r>
          </w:p>
        </w:tc>
        <w:tc>
          <w:tcPr>
            <w:tcW w:w="789"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4902"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50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6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商业企业</w:t>
            </w:r>
          </w:p>
        </w:tc>
        <w:tc>
          <w:tcPr>
            <w:tcW w:w="104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科研机构</w:t>
            </w:r>
          </w:p>
        </w:tc>
        <w:tc>
          <w:tcPr>
            <w:tcW w:w="92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社会公益组织</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法律服务机构</w:t>
            </w:r>
          </w:p>
        </w:tc>
        <w:tc>
          <w:tcPr>
            <w:tcW w:w="57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其他</w:t>
            </w: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4902" w:type="dxa"/>
            <w:gridSpan w:val="3"/>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楷体_GB2312" w:hAnsi="Times New Roman" w:eastAsia="楷体_GB2312" w:cs="Times New Roman"/>
                <w:b/>
                <w:bCs/>
                <w:kern w:val="0"/>
                <w:sz w:val="22"/>
                <w:szCs w:val="22"/>
              </w:rPr>
            </w:pPr>
            <w:r>
              <w:rPr>
                <w:rFonts w:hint="eastAsia" w:ascii="楷体_GB2312" w:hAnsi="Times New Roman" w:eastAsia="楷体_GB2312" w:cs="Times New Roman"/>
                <w:b/>
                <w:bCs/>
                <w:kern w:val="0"/>
                <w:sz w:val="22"/>
                <w:szCs w:val="22"/>
              </w:rPr>
              <w:t>一、本年新收政府信息公开申请数量</w:t>
            </w:r>
          </w:p>
        </w:tc>
        <w:tc>
          <w:tcPr>
            <w:tcW w:w="50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104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2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7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4902" w:type="dxa"/>
            <w:gridSpan w:val="3"/>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楷体_GB2312" w:hAnsi="Times New Roman" w:eastAsia="楷体_GB2312" w:cs="Times New Roman"/>
                <w:b/>
                <w:bCs/>
                <w:kern w:val="0"/>
                <w:sz w:val="22"/>
                <w:szCs w:val="22"/>
              </w:rPr>
            </w:pPr>
            <w:r>
              <w:rPr>
                <w:rFonts w:hint="eastAsia" w:ascii="楷体_GB2312" w:hAnsi="Times New Roman" w:eastAsia="楷体_GB2312" w:cs="Times New Roman"/>
                <w:b/>
                <w:bCs/>
                <w:kern w:val="0"/>
                <w:sz w:val="22"/>
                <w:szCs w:val="22"/>
              </w:rPr>
              <w:t>二、上年结转政府信息公开申请数量</w:t>
            </w:r>
          </w:p>
        </w:tc>
        <w:tc>
          <w:tcPr>
            <w:tcW w:w="50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104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2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7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539"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b/>
                <w:bCs/>
                <w:kern w:val="0"/>
                <w:sz w:val="22"/>
                <w:szCs w:val="22"/>
              </w:rPr>
            </w:pPr>
            <w:r>
              <w:rPr>
                <w:rFonts w:hint="eastAsia" w:ascii="楷体_GB2312" w:hAnsi="Times New Roman" w:eastAsia="楷体_GB2312" w:cs="Times New Roman"/>
                <w:b/>
                <w:bCs/>
                <w:kern w:val="0"/>
                <w:sz w:val="22"/>
                <w:szCs w:val="22"/>
              </w:rPr>
              <w:t>三、本年度办理结果</w:t>
            </w:r>
          </w:p>
        </w:tc>
        <w:tc>
          <w:tcPr>
            <w:tcW w:w="4363"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b/>
                <w:bCs/>
                <w:kern w:val="0"/>
                <w:sz w:val="22"/>
                <w:szCs w:val="22"/>
              </w:rPr>
            </w:pPr>
            <w:r>
              <w:rPr>
                <w:rFonts w:hint="eastAsia" w:ascii="仿宋_GB2312" w:hAnsi="Times New Roman" w:eastAsia="仿宋_GB2312" w:cs="Times New Roman"/>
                <w:b/>
                <w:bCs/>
                <w:kern w:val="0"/>
                <w:sz w:val="22"/>
                <w:szCs w:val="22"/>
              </w:rPr>
              <w:t>（一）予以公开</w:t>
            </w:r>
          </w:p>
        </w:tc>
        <w:tc>
          <w:tcPr>
            <w:tcW w:w="50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104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2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7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4363"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b/>
                <w:bCs/>
                <w:kern w:val="0"/>
                <w:sz w:val="22"/>
                <w:szCs w:val="22"/>
              </w:rPr>
            </w:pPr>
            <w:r>
              <w:rPr>
                <w:rFonts w:hint="eastAsia" w:ascii="仿宋_GB2312" w:hAnsi="Times New Roman" w:eastAsia="仿宋_GB2312" w:cs="Times New Roman"/>
                <w:b/>
                <w:bCs/>
                <w:kern w:val="0"/>
                <w:sz w:val="22"/>
                <w:szCs w:val="22"/>
              </w:rPr>
              <w:t>（二）部分公开（区分处理的，只计这一情形，不计其他情形）</w:t>
            </w:r>
          </w:p>
        </w:tc>
        <w:tc>
          <w:tcPr>
            <w:tcW w:w="50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104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2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7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7"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923" w:type="dxa"/>
            <w:vMerge w:val="restart"/>
            <w:tcBorders>
              <w:top w:val="inset" w:color="auto" w:sz="8" w:space="0"/>
              <w:left w:val="inset" w:color="auto" w:sz="8" w:space="0"/>
              <w:bottom w:val="inset" w:color="auto" w:sz="8" w:space="0"/>
              <w:right w:val="inset" w:color="auto" w:sz="8" w:space="0"/>
            </w:tcBorders>
            <w:vAlign w:val="center"/>
          </w:tcPr>
          <w:p>
            <w:pPr>
              <w:widowControl/>
              <w:spacing w:line="240" w:lineRule="auto"/>
              <w:jc w:val="left"/>
              <w:rPr>
                <w:rFonts w:ascii="仿宋_GB2312" w:hAnsi="宋体" w:eastAsia="仿宋_GB2312" w:cs="宋体"/>
                <w:b/>
                <w:bCs/>
                <w:kern w:val="0"/>
                <w:sz w:val="22"/>
                <w:szCs w:val="22"/>
              </w:rPr>
            </w:pPr>
            <w:r>
              <w:rPr>
                <w:rFonts w:hint="eastAsia" w:ascii="仿宋_GB2312" w:hAnsi="Times New Roman" w:eastAsia="仿宋_GB2312" w:cs="Times New Roman"/>
                <w:b/>
                <w:bCs/>
                <w:kern w:val="0"/>
                <w:sz w:val="22"/>
                <w:szCs w:val="22"/>
              </w:rPr>
              <w:t>（三）不予公开</w:t>
            </w:r>
          </w:p>
        </w:tc>
        <w:tc>
          <w:tcPr>
            <w:tcW w:w="344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1.属于国家秘密</w:t>
            </w:r>
          </w:p>
        </w:tc>
        <w:tc>
          <w:tcPr>
            <w:tcW w:w="50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104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2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7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inset" w:color="auto" w:sz="8" w:space="0"/>
              <w:left w:val="inset" w:color="auto" w:sz="8" w:space="0"/>
              <w:bottom w:val="inset" w:color="auto" w:sz="8" w:space="0"/>
              <w:right w:val="inset"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44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2.其他法律行政法规禁止公开</w:t>
            </w:r>
          </w:p>
        </w:tc>
        <w:tc>
          <w:tcPr>
            <w:tcW w:w="50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104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2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7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inset" w:color="auto" w:sz="8" w:space="0"/>
              <w:left w:val="inset" w:color="auto" w:sz="8" w:space="0"/>
              <w:bottom w:val="inset" w:color="auto" w:sz="8" w:space="0"/>
              <w:right w:val="inset"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44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3.危及“三安全一稳定”</w:t>
            </w:r>
          </w:p>
        </w:tc>
        <w:tc>
          <w:tcPr>
            <w:tcW w:w="50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104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2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7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inset" w:color="auto" w:sz="8" w:space="0"/>
              <w:left w:val="inset" w:color="auto" w:sz="8" w:space="0"/>
              <w:bottom w:val="inset" w:color="auto" w:sz="8" w:space="0"/>
              <w:right w:val="inset"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44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4.保护第三方合法权益</w:t>
            </w:r>
          </w:p>
        </w:tc>
        <w:tc>
          <w:tcPr>
            <w:tcW w:w="50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104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2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7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inset" w:color="auto" w:sz="8" w:space="0"/>
              <w:left w:val="inset" w:color="auto" w:sz="8" w:space="0"/>
              <w:bottom w:val="inset" w:color="auto" w:sz="8" w:space="0"/>
              <w:right w:val="inset"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44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5.属于三类内部事务信息</w:t>
            </w:r>
          </w:p>
        </w:tc>
        <w:tc>
          <w:tcPr>
            <w:tcW w:w="50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104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2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7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inset" w:color="auto" w:sz="8" w:space="0"/>
              <w:left w:val="inset" w:color="auto" w:sz="8" w:space="0"/>
              <w:bottom w:val="inset" w:color="auto" w:sz="8" w:space="0"/>
              <w:right w:val="inset"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44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6.属于四类过程性信息</w:t>
            </w:r>
          </w:p>
        </w:tc>
        <w:tc>
          <w:tcPr>
            <w:tcW w:w="50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104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2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7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inset" w:color="auto" w:sz="8" w:space="0"/>
              <w:left w:val="inset" w:color="auto" w:sz="8" w:space="0"/>
              <w:bottom w:val="inset" w:color="auto" w:sz="8" w:space="0"/>
              <w:right w:val="inset"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44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7.属于行政执法案卷</w:t>
            </w:r>
          </w:p>
        </w:tc>
        <w:tc>
          <w:tcPr>
            <w:tcW w:w="50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104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2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7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inset" w:color="auto" w:sz="8" w:space="0"/>
              <w:left w:val="inset" w:color="auto" w:sz="8" w:space="0"/>
              <w:bottom w:val="inset" w:color="auto" w:sz="8" w:space="0"/>
              <w:right w:val="inset"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44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8.属于行政查询事项</w:t>
            </w:r>
          </w:p>
        </w:tc>
        <w:tc>
          <w:tcPr>
            <w:tcW w:w="50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104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2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7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923"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b/>
                <w:bCs/>
                <w:kern w:val="0"/>
                <w:sz w:val="22"/>
                <w:szCs w:val="22"/>
              </w:rPr>
            </w:pPr>
            <w:r>
              <w:rPr>
                <w:rFonts w:hint="eastAsia" w:ascii="仿宋_GB2312" w:hAnsi="Times New Roman" w:eastAsia="仿宋_GB2312" w:cs="Times New Roman"/>
                <w:b/>
                <w:bCs/>
                <w:kern w:val="0"/>
                <w:sz w:val="22"/>
                <w:szCs w:val="22"/>
              </w:rPr>
              <w:t>（四）无法提供</w:t>
            </w:r>
          </w:p>
        </w:tc>
        <w:tc>
          <w:tcPr>
            <w:tcW w:w="344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1.本机关不掌握相关政府信息</w:t>
            </w:r>
          </w:p>
        </w:tc>
        <w:tc>
          <w:tcPr>
            <w:tcW w:w="50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default"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104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2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7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44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2.没有现成信息需要另行制作</w:t>
            </w:r>
          </w:p>
        </w:tc>
        <w:tc>
          <w:tcPr>
            <w:tcW w:w="50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104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2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7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b/>
                <w:bCs/>
                <w:kern w:val="0"/>
                <w:sz w:val="22"/>
                <w:szCs w:val="22"/>
              </w:rPr>
            </w:pPr>
          </w:p>
        </w:tc>
        <w:tc>
          <w:tcPr>
            <w:tcW w:w="344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3.补正后申请内容仍不明确</w:t>
            </w:r>
          </w:p>
        </w:tc>
        <w:tc>
          <w:tcPr>
            <w:tcW w:w="50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104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2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7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923"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b/>
                <w:bCs/>
                <w:kern w:val="0"/>
                <w:sz w:val="22"/>
                <w:szCs w:val="22"/>
              </w:rPr>
            </w:pPr>
            <w:r>
              <w:rPr>
                <w:rFonts w:hint="eastAsia" w:ascii="仿宋_GB2312" w:hAnsi="Times New Roman" w:eastAsia="仿宋_GB2312" w:cs="Times New Roman"/>
                <w:b/>
                <w:bCs/>
                <w:kern w:val="0"/>
                <w:sz w:val="22"/>
                <w:szCs w:val="22"/>
              </w:rPr>
              <w:t>（五）不予处理</w:t>
            </w:r>
          </w:p>
        </w:tc>
        <w:tc>
          <w:tcPr>
            <w:tcW w:w="344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1.信访举报投诉类申请</w:t>
            </w:r>
          </w:p>
        </w:tc>
        <w:tc>
          <w:tcPr>
            <w:tcW w:w="50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104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2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7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344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2.重复申请</w:t>
            </w:r>
          </w:p>
        </w:tc>
        <w:tc>
          <w:tcPr>
            <w:tcW w:w="50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104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2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7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344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3.要求提供公开出版物</w:t>
            </w:r>
          </w:p>
        </w:tc>
        <w:tc>
          <w:tcPr>
            <w:tcW w:w="50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104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2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7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344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4.无正当理由大量反复申请</w:t>
            </w:r>
          </w:p>
        </w:tc>
        <w:tc>
          <w:tcPr>
            <w:tcW w:w="50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104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2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7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3440"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kern w:val="0"/>
                <w:sz w:val="22"/>
                <w:szCs w:val="22"/>
              </w:rPr>
              <w:t>5.要求行政机关确认或重新出具已获取信息</w:t>
            </w:r>
          </w:p>
        </w:tc>
        <w:tc>
          <w:tcPr>
            <w:tcW w:w="50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104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2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7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4363"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b/>
                <w:bCs/>
                <w:kern w:val="0"/>
                <w:sz w:val="22"/>
                <w:szCs w:val="22"/>
              </w:rPr>
            </w:pPr>
            <w:r>
              <w:rPr>
                <w:rFonts w:hint="eastAsia" w:ascii="仿宋_GB2312" w:hAnsi="Times New Roman" w:eastAsia="仿宋_GB2312" w:cs="Times New Roman"/>
                <w:b/>
                <w:bCs/>
                <w:kern w:val="0"/>
                <w:sz w:val="22"/>
                <w:szCs w:val="22"/>
              </w:rPr>
              <w:t>（六）其他处理</w:t>
            </w:r>
          </w:p>
        </w:tc>
        <w:tc>
          <w:tcPr>
            <w:tcW w:w="50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104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2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7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p>
        </w:tc>
        <w:tc>
          <w:tcPr>
            <w:tcW w:w="4363" w:type="dxa"/>
            <w:gridSpan w:val="2"/>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仿宋_GB2312" w:hAnsi="宋体" w:eastAsia="仿宋_GB2312" w:cs="宋体"/>
                <w:kern w:val="0"/>
                <w:sz w:val="22"/>
                <w:szCs w:val="22"/>
              </w:rPr>
            </w:pPr>
            <w:r>
              <w:rPr>
                <w:rFonts w:hint="eastAsia" w:ascii="仿宋_GB2312" w:hAnsi="Times New Roman" w:eastAsia="仿宋_GB2312" w:cs="Times New Roman"/>
                <w:b/>
                <w:bCs/>
                <w:kern w:val="0"/>
                <w:sz w:val="22"/>
                <w:szCs w:val="22"/>
              </w:rPr>
              <w:t>（七）总计</w:t>
            </w:r>
          </w:p>
        </w:tc>
        <w:tc>
          <w:tcPr>
            <w:tcW w:w="50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104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2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7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4902" w:type="dxa"/>
            <w:gridSpan w:val="3"/>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楷体_GB2312" w:hAnsi="宋体" w:eastAsia="楷体_GB2312" w:cs="宋体"/>
                <w:b/>
                <w:bCs/>
                <w:kern w:val="0"/>
                <w:sz w:val="22"/>
                <w:szCs w:val="22"/>
              </w:rPr>
            </w:pPr>
            <w:r>
              <w:rPr>
                <w:rFonts w:hint="eastAsia" w:ascii="楷体_GB2312" w:hAnsi="Times New Roman" w:eastAsia="楷体_GB2312" w:cs="Times New Roman"/>
                <w:b/>
                <w:bCs/>
                <w:kern w:val="0"/>
                <w:sz w:val="22"/>
                <w:szCs w:val="22"/>
              </w:rPr>
              <w:t>四、结转下年度继续办理</w:t>
            </w:r>
          </w:p>
        </w:tc>
        <w:tc>
          <w:tcPr>
            <w:tcW w:w="50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68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104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923"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57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c>
          <w:tcPr>
            <w:tcW w:w="78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0</w:t>
            </w:r>
          </w:p>
        </w:tc>
      </w:tr>
    </w:tbl>
    <w:p>
      <w:pPr>
        <w:widowControl/>
        <w:shd w:val="clear" w:color="auto" w:fill="FFFFFF"/>
        <w:ind w:firstLine="640" w:firstLineChars="200"/>
        <w:jc w:val="left"/>
        <w:rPr>
          <w:rFonts w:ascii="黑体" w:hAnsi="黑体" w:eastAsia="黑体" w:cs="宋体"/>
          <w:color w:val="000000"/>
          <w:kern w:val="0"/>
          <w:sz w:val="32"/>
        </w:rPr>
      </w:pPr>
      <w:r>
        <w:rPr>
          <w:rFonts w:hint="eastAsia" w:ascii="黑体" w:hAnsi="黑体" w:eastAsia="黑体" w:cs="宋体"/>
          <w:color w:val="000000"/>
          <w:kern w:val="0"/>
          <w:sz w:val="32"/>
        </w:rPr>
        <w:t>四、政府信息公开行政复议、行政诉讼情况</w:t>
      </w:r>
    </w:p>
    <w:tbl>
      <w:tblPr>
        <w:tblStyle w:val="5"/>
        <w:tblW w:w="10206"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77"/>
        <w:gridCol w:w="677"/>
        <w:gridCol w:w="677"/>
        <w:gridCol w:w="677"/>
        <w:gridCol w:w="745"/>
        <w:gridCol w:w="609"/>
        <w:gridCol w:w="677"/>
        <w:gridCol w:w="677"/>
        <w:gridCol w:w="677"/>
        <w:gridCol w:w="711"/>
        <w:gridCol w:w="677"/>
        <w:gridCol w:w="677"/>
        <w:gridCol w:w="677"/>
        <w:gridCol w:w="677"/>
        <w:gridCol w:w="6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3453" w:type="dxa"/>
            <w:gridSpan w:val="5"/>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行政复议</w:t>
            </w:r>
          </w:p>
        </w:tc>
        <w:tc>
          <w:tcPr>
            <w:tcW w:w="6753" w:type="dxa"/>
            <w:gridSpan w:val="10"/>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行政诉讼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677"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结果维持</w:t>
            </w:r>
          </w:p>
        </w:tc>
        <w:tc>
          <w:tcPr>
            <w:tcW w:w="677"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结果纠正</w:t>
            </w:r>
          </w:p>
        </w:tc>
        <w:tc>
          <w:tcPr>
            <w:tcW w:w="677"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其他结果</w:t>
            </w:r>
          </w:p>
        </w:tc>
        <w:tc>
          <w:tcPr>
            <w:tcW w:w="677"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尚未审结</w:t>
            </w:r>
          </w:p>
        </w:tc>
        <w:tc>
          <w:tcPr>
            <w:tcW w:w="745" w:type="dxa"/>
            <w:vMerge w:val="restart"/>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总计</w:t>
            </w:r>
          </w:p>
        </w:tc>
        <w:tc>
          <w:tcPr>
            <w:tcW w:w="3351" w:type="dxa"/>
            <w:gridSpan w:val="5"/>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未经复议直接起诉</w:t>
            </w:r>
          </w:p>
        </w:tc>
        <w:tc>
          <w:tcPr>
            <w:tcW w:w="3402" w:type="dxa"/>
            <w:gridSpan w:val="5"/>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复议后起诉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kern w:val="0"/>
                <w:sz w:val="24"/>
                <w:szCs w:val="24"/>
              </w:rPr>
            </w:pPr>
          </w:p>
        </w:tc>
        <w:tc>
          <w:tcPr>
            <w:tcW w:w="60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结果维持</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结果纠正</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其他结果</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尚未审结</w:t>
            </w:r>
          </w:p>
        </w:tc>
        <w:tc>
          <w:tcPr>
            <w:tcW w:w="71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总计</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结果维持</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结果纠正</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其他结果</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尚未审结</w:t>
            </w:r>
          </w:p>
        </w:tc>
        <w:tc>
          <w:tcPr>
            <w:tcW w:w="69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kern w:val="0"/>
                <w:sz w:val="24"/>
                <w:szCs w:val="24"/>
              </w:rPr>
            </w:pPr>
            <w:r>
              <w:rPr>
                <w:rFonts w:ascii="Times New Roman" w:hAnsi="Times New Roman" w:eastAsia="宋体" w:cs="Times New Roman"/>
                <w:kern w:val="0"/>
                <w:sz w:val="22"/>
                <w:szCs w:val="22"/>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exact"/>
          <w:tblCellSpacing w:w="0" w:type="dxa"/>
          <w:jc w:val="center"/>
        </w:trPr>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45"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9"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1"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77"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94"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shd w:val="clear" w:color="auto" w:fill="FFFFFF"/>
        <w:ind w:firstLine="640" w:firstLineChars="200"/>
        <w:jc w:val="left"/>
        <w:rPr>
          <w:rFonts w:ascii="黑体" w:hAnsi="黑体" w:eastAsia="黑体" w:cs="宋体"/>
          <w:color w:val="000000"/>
          <w:kern w:val="0"/>
          <w:sz w:val="32"/>
        </w:rPr>
      </w:pPr>
      <w:r>
        <w:rPr>
          <w:rFonts w:hint="eastAsia" w:ascii="黑体" w:hAnsi="黑体" w:eastAsia="黑体" w:cs="宋体"/>
          <w:color w:val="000000"/>
          <w:kern w:val="0"/>
          <w:sz w:val="32"/>
        </w:rPr>
        <w:t>五、存在的主要问题及改进情况</w:t>
      </w:r>
    </w:p>
    <w:p>
      <w:pPr>
        <w:widowControl/>
        <w:shd w:val="clear" w:color="auto" w:fill="FFFFFF"/>
        <w:spacing w:line="561" w:lineRule="atLeast"/>
        <w:ind w:firstLine="480"/>
        <w:jc w:val="left"/>
        <w:rPr>
          <w:rFonts w:ascii="楷体_GB2312" w:hAnsi="宋体" w:eastAsia="楷体_GB2312" w:cs="宋体"/>
          <w:b/>
          <w:bCs/>
          <w:color w:val="000000"/>
          <w:kern w:val="0"/>
          <w:sz w:val="32"/>
        </w:rPr>
      </w:pPr>
      <w:r>
        <w:rPr>
          <w:rFonts w:hint="eastAsia" w:ascii="楷体_GB2312" w:hAnsi="宋体" w:eastAsia="楷体_GB2312" w:cs="宋体"/>
          <w:b/>
          <w:bCs/>
          <w:color w:val="000000"/>
          <w:kern w:val="0"/>
          <w:sz w:val="32"/>
        </w:rPr>
        <w:t>（一）存在问题</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482"/>
        <w:jc w:val="left"/>
        <w:textAlignment w:val="auto"/>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我局政务公开工作虽然取得了一定的成绩，但与上级的要求、与公众的需求还存在一定差距。</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482"/>
        <w:jc w:val="left"/>
        <w:textAlignment w:val="auto"/>
        <w:rPr>
          <w:rFonts w:hint="eastAsia" w:ascii="仿宋_GB2312" w:hAnsi="仿宋_GB2312" w:eastAsia="仿宋_GB2312" w:cs="仿宋_GB2312"/>
          <w:color w:val="000000"/>
          <w:sz w:val="32"/>
          <w:shd w:val="clear" w:color="auto" w:fill="FFFFFF"/>
        </w:rPr>
      </w:pPr>
      <w:r>
        <w:rPr>
          <w:rFonts w:hint="eastAsia" w:ascii="仿宋" w:hAnsi="仿宋" w:eastAsia="仿宋"/>
          <w:b/>
          <w:bCs/>
          <w:color w:val="000000"/>
          <w:sz w:val="32"/>
          <w:shd w:val="clear" w:color="auto" w:fill="FFFFFF"/>
        </w:rPr>
        <w:t>一是</w:t>
      </w:r>
      <w:r>
        <w:rPr>
          <w:rFonts w:hint="eastAsia" w:ascii="仿宋_GB2312" w:hAnsi="仿宋_GB2312" w:eastAsia="仿宋_GB2312" w:cs="仿宋_GB2312"/>
          <w:color w:val="000000"/>
          <w:sz w:val="32"/>
          <w:shd w:val="clear" w:color="auto" w:fill="FFFFFF"/>
        </w:rPr>
        <w:t>还需要进一步充实政府信息公开的内容，按照以公开为原则的要求，完善主动公开的政府信息目录，凡是需要群众知道的，涉及群众切身利益的，都要纳入公开范围，加强对公众关注度高的政务信息的梳理，及时、全面地在网上进行公布。</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482"/>
        <w:jc w:val="left"/>
        <w:textAlignment w:val="auto"/>
        <w:rPr>
          <w:rFonts w:hint="eastAsia" w:ascii="仿宋_GB2312" w:hAnsi="仿宋_GB2312" w:eastAsia="仿宋_GB2312" w:cs="仿宋_GB2312"/>
          <w:color w:val="000000"/>
          <w:sz w:val="32"/>
          <w:shd w:val="clear" w:color="auto" w:fill="FFFFFF"/>
        </w:rPr>
      </w:pPr>
      <w:r>
        <w:rPr>
          <w:rFonts w:hint="eastAsia" w:ascii="仿宋" w:hAnsi="仿宋" w:eastAsia="仿宋"/>
          <w:b/>
          <w:bCs/>
          <w:color w:val="000000"/>
          <w:sz w:val="32"/>
          <w:shd w:val="clear" w:color="auto" w:fill="FFFFFF"/>
        </w:rPr>
        <w:t>二是</w:t>
      </w:r>
      <w:r>
        <w:rPr>
          <w:rFonts w:hint="eastAsia" w:ascii="仿宋_GB2312" w:hAnsi="仿宋_GB2312" w:eastAsia="仿宋_GB2312" w:cs="仿宋_GB2312"/>
          <w:color w:val="000000"/>
          <w:sz w:val="32"/>
          <w:shd w:val="clear" w:color="auto" w:fill="FFFFFF"/>
        </w:rPr>
        <w:t>完善政务公开内容审查和更新维护等工作制度，确保政务公开工作深入、持续、高效地开展。</w:t>
      </w:r>
    </w:p>
    <w:p>
      <w:pPr>
        <w:widowControl/>
        <w:shd w:val="clear" w:color="auto" w:fill="FFFFFF"/>
        <w:spacing w:line="561" w:lineRule="atLeast"/>
        <w:ind w:firstLine="480"/>
        <w:jc w:val="left"/>
        <w:rPr>
          <w:rFonts w:ascii="楷体_GB2312" w:hAnsi="宋体" w:eastAsia="楷体_GB2312" w:cs="宋体"/>
          <w:b/>
          <w:bCs/>
          <w:color w:val="000000"/>
          <w:kern w:val="0"/>
          <w:sz w:val="32"/>
        </w:rPr>
      </w:pPr>
      <w:r>
        <w:rPr>
          <w:rFonts w:hint="eastAsia" w:ascii="楷体_GB2312" w:hAnsi="宋体" w:eastAsia="楷体_GB2312" w:cs="宋体"/>
          <w:b/>
          <w:bCs/>
          <w:color w:val="000000"/>
          <w:kern w:val="0"/>
          <w:sz w:val="32"/>
        </w:rPr>
        <w:t>（二）改进措施</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480"/>
        <w:jc w:val="left"/>
        <w:textAlignment w:val="auto"/>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2021年，我局将继续在县政府电子政务中心的支持帮助下，进一步加强政务公开规范化建设。以求真务实的作风，扎实做好2021年政务公开工作，重点抓好以下工作：</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480"/>
        <w:jc w:val="left"/>
        <w:textAlignment w:val="auto"/>
        <w:rPr>
          <w:rFonts w:hint="eastAsia" w:ascii="仿宋_GB2312" w:hAnsi="仿宋_GB2312" w:eastAsia="仿宋_GB2312" w:cs="仿宋_GB2312"/>
          <w:color w:val="000000"/>
          <w:kern w:val="0"/>
          <w:sz w:val="32"/>
        </w:rPr>
      </w:pPr>
      <w:r>
        <w:rPr>
          <w:rFonts w:hint="eastAsia" w:ascii="仿宋_GB2312" w:hAnsi="仿宋_GB2312" w:eastAsia="仿宋_GB2312" w:cs="仿宋_GB2312"/>
          <w:b/>
          <w:bCs/>
          <w:color w:val="000000"/>
          <w:sz w:val="32"/>
          <w:shd w:val="clear" w:color="auto" w:fill="FFFFFF"/>
        </w:rPr>
        <w:t>一是</w:t>
      </w:r>
      <w:r>
        <w:rPr>
          <w:rFonts w:hint="eastAsia" w:ascii="仿宋_GB2312" w:hAnsi="仿宋_GB2312" w:eastAsia="仿宋_GB2312" w:cs="仿宋_GB2312"/>
          <w:color w:val="000000"/>
          <w:sz w:val="32"/>
          <w:shd w:val="clear" w:color="auto" w:fill="FFFFFF"/>
        </w:rPr>
        <w:t>进一步加强对政务公开工作的领导和监督，层层落实责任，定期督查通报，确保把政务公开工作落到实处。</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480"/>
        <w:jc w:val="left"/>
        <w:textAlignment w:val="auto"/>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b/>
          <w:bCs/>
          <w:color w:val="000000"/>
          <w:sz w:val="32"/>
          <w:shd w:val="clear" w:color="auto" w:fill="FFFFFF"/>
        </w:rPr>
        <w:t>二是</w:t>
      </w:r>
      <w:r>
        <w:rPr>
          <w:rFonts w:hint="eastAsia" w:ascii="仿宋_GB2312" w:hAnsi="仿宋_GB2312" w:eastAsia="仿宋_GB2312" w:cs="仿宋_GB2312"/>
          <w:color w:val="000000"/>
          <w:sz w:val="32"/>
          <w:shd w:val="clear" w:color="auto" w:fill="FFFFFF"/>
        </w:rPr>
        <w:t>进一步提高干部职工对做好政务公开工作的认识，营造良好的氛围。</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480"/>
        <w:jc w:val="left"/>
        <w:textAlignment w:val="auto"/>
        <w:rPr>
          <w:rFonts w:hint="eastAsia" w:ascii="仿宋_GB2312" w:hAnsi="仿宋_GB2312" w:eastAsia="仿宋_GB2312" w:cs="仿宋_GB2312"/>
          <w:color w:val="000000"/>
          <w:kern w:val="0"/>
          <w:sz w:val="32"/>
        </w:rPr>
      </w:pPr>
      <w:r>
        <w:rPr>
          <w:rFonts w:hint="eastAsia" w:ascii="仿宋_GB2312" w:hAnsi="仿宋_GB2312" w:eastAsia="仿宋_GB2312" w:cs="仿宋_GB2312"/>
          <w:b/>
          <w:bCs/>
          <w:color w:val="000000"/>
          <w:sz w:val="32"/>
          <w:shd w:val="clear" w:color="auto" w:fill="FFFFFF"/>
        </w:rPr>
        <w:t>三是</w:t>
      </w:r>
      <w:r>
        <w:rPr>
          <w:rFonts w:hint="eastAsia" w:ascii="仿宋_GB2312" w:hAnsi="仿宋_GB2312" w:eastAsia="仿宋_GB2312" w:cs="仿宋_GB2312"/>
          <w:color w:val="000000"/>
          <w:sz w:val="32"/>
          <w:shd w:val="clear" w:color="auto" w:fill="FFFFFF"/>
        </w:rPr>
        <w:t xml:space="preserve">健全信息公开制度。根据政务公开的新要求，进一步完善相关制度，例如重大政策解读文件的制发、征求意见和反馈等，不断提高信息公开制度的整体效果。  </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left"/>
        <w:textAlignment w:val="auto"/>
        <w:rPr>
          <w:rFonts w:ascii="黑体" w:hAnsi="黑体" w:eastAsia="黑体" w:cs="宋体"/>
          <w:color w:val="000000"/>
          <w:kern w:val="0"/>
          <w:sz w:val="32"/>
        </w:rPr>
      </w:pPr>
      <w:r>
        <w:rPr>
          <w:rFonts w:hint="eastAsia" w:ascii="黑体" w:hAnsi="黑体" w:eastAsia="黑体" w:cs="宋体"/>
          <w:color w:val="000000"/>
          <w:kern w:val="0"/>
          <w:sz w:val="32"/>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482"/>
        <w:jc w:val="left"/>
        <w:textAlignment w:val="auto"/>
        <w:rPr>
          <w:rFonts w:hint="eastAsia" w:ascii="仿宋_GB2312" w:hAnsi="仿宋_GB2312" w:eastAsia="仿宋_GB2312" w:cs="仿宋_GB2312"/>
          <w:color w:val="000000"/>
          <w:sz w:val="32"/>
          <w:shd w:val="clear" w:color="auto" w:fill="FFFFFF"/>
          <w:lang w:eastAsia="zh-CN"/>
        </w:rPr>
      </w:pPr>
      <w:r>
        <w:rPr>
          <w:rFonts w:hint="eastAsia" w:ascii="仿宋_GB2312" w:hAnsi="仿宋_GB2312" w:eastAsia="仿宋_GB2312" w:cs="仿宋_GB2312"/>
          <w:color w:val="000000"/>
          <w:sz w:val="32"/>
          <w:shd w:val="clear" w:color="auto" w:fill="FFFFFF"/>
          <w:lang w:eastAsia="zh-CN"/>
        </w:rPr>
        <w:t>无</w:t>
      </w:r>
    </w:p>
    <w:sectPr>
      <w:pgSz w:w="11906" w:h="16838"/>
      <w:pgMar w:top="1440" w:right="1440" w:bottom="144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F8"/>
    <w:rsid w:val="00311377"/>
    <w:rsid w:val="00315013"/>
    <w:rsid w:val="005807B6"/>
    <w:rsid w:val="00730401"/>
    <w:rsid w:val="007C6AFF"/>
    <w:rsid w:val="00A014F8"/>
    <w:rsid w:val="00AA4DAF"/>
    <w:rsid w:val="00C86AD6"/>
    <w:rsid w:val="00E531F7"/>
    <w:rsid w:val="00FC4F54"/>
    <w:rsid w:val="720A321A"/>
    <w:rsid w:val="7AF75392"/>
    <w:rsid w:val="7D903EB4"/>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6" w:lineRule="exact"/>
      <w:jc w:val="both"/>
    </w:pPr>
    <w:rPr>
      <w:rFonts w:asciiTheme="minorHAnsi" w:hAnsiTheme="minorHAnsi" w:eastAsiaTheme="minorEastAsia" w:cstheme="minorBidi"/>
      <w:kern w:val="2"/>
      <w:sz w:val="21"/>
      <w:szCs w:val="32"/>
      <w:lang w:val="en-US" w:eastAsia="zh-CN" w:bidi="bo-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spacing w:line="240" w:lineRule="atLeast"/>
      <w:jc w:val="left"/>
    </w:pPr>
    <w:rPr>
      <w:sz w:val="18"/>
      <w:szCs w:val="26"/>
    </w:rPr>
  </w:style>
  <w:style w:type="paragraph" w:styleId="3">
    <w:name w:val="header"/>
    <w:basedOn w:val="1"/>
    <w:link w:val="8"/>
    <w:semiHidden/>
    <w:unhideWhenUsed/>
    <w:uiPriority w:val="99"/>
    <w:pPr>
      <w:pBdr>
        <w:bottom w:val="single" w:color="auto" w:sz="6" w:space="1"/>
      </w:pBdr>
      <w:tabs>
        <w:tab w:val="center" w:pos="4153"/>
        <w:tab w:val="right" w:pos="8306"/>
      </w:tabs>
      <w:snapToGrid w:val="0"/>
      <w:spacing w:line="240" w:lineRule="atLeast"/>
      <w:jc w:val="center"/>
    </w:pPr>
    <w:rPr>
      <w:sz w:val="18"/>
      <w:szCs w:val="26"/>
    </w:rPr>
  </w:style>
  <w:style w:type="paragraph" w:styleId="4">
    <w:name w:val="Normal (Web)"/>
    <w:basedOn w:val="1"/>
    <w:semiHidden/>
    <w:unhideWhenUsed/>
    <w:uiPriority w:val="99"/>
    <w:pPr>
      <w:widowControl/>
      <w:spacing w:before="100" w:beforeAutospacing="1" w:after="100" w:afterAutospacing="1" w:line="240" w:lineRule="auto"/>
      <w:jc w:val="left"/>
    </w:pPr>
    <w:rPr>
      <w:rFonts w:ascii="宋体" w:hAnsi="宋体" w:eastAsia="宋体" w:cs="宋体"/>
      <w:kern w:val="0"/>
      <w:sz w:val="24"/>
      <w:szCs w:val="24"/>
    </w:rPr>
  </w:style>
  <w:style w:type="paragraph" w:customStyle="1" w:styleId="7">
    <w:name w:val="p"/>
    <w:basedOn w:val="1"/>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8">
    <w:name w:val="页眉 Char"/>
    <w:basedOn w:val="6"/>
    <w:link w:val="3"/>
    <w:semiHidden/>
    <w:uiPriority w:val="99"/>
    <w:rPr>
      <w:sz w:val="18"/>
      <w:szCs w:val="26"/>
    </w:rPr>
  </w:style>
  <w:style w:type="character" w:customStyle="1" w:styleId="9">
    <w:name w:val="页脚 Char"/>
    <w:basedOn w:val="6"/>
    <w:link w:val="2"/>
    <w:semiHidden/>
    <w:uiPriority w:val="99"/>
    <w:rPr>
      <w:sz w:val="18"/>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234</Words>
  <Characters>1337</Characters>
  <Lines>11</Lines>
  <Paragraphs>3</Paragraphs>
  <TotalTime>40</TotalTime>
  <ScaleCrop>false</ScaleCrop>
  <LinksUpToDate>false</LinksUpToDate>
  <CharactersWithSpaces>1568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2021-04-23T06:56:00Z</dcterms:created>
  <dc:creator>未定义</dc:creator>
  <cp:lastModifiedBy>Administrator</cp:lastModifiedBy>
  <dcterms:modified xsi:type="dcterms:W3CDTF">2021-04-27T02:29:06Z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3415563E838D41A68819304C71D5489A</vt:lpwstr>
  </property>
</Properties>
</file>