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尖扶局〔2021〕59号                  签发人：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杨吉加</w:t>
      </w:r>
    </w:p>
    <w:p>
      <w:pPr>
        <w:widowControl/>
        <w:shd w:val="clear" w:color="auto" w:fill="FFFFFF"/>
        <w:jc w:val="center"/>
        <w:rPr>
          <w:rFonts w:ascii="方正小标宋_GBK" w:hAnsi="微软雅黑" w:eastAsia="方正小标宋_GBK" w:cs="宋体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</w:p>
    <w:p>
      <w:pPr>
        <w:widowControl/>
        <w:shd w:val="clear" w:color="auto" w:fill="FFFFFF"/>
        <w:jc w:val="center"/>
        <w:rPr>
          <w:rFonts w:hint="eastAsia" w:ascii="方正小标宋_GBK" w:hAnsi="微软雅黑" w:eastAsia="方正小标宋_GBK" w:cs="宋体"/>
          <w:color w:val="000000" w:themeColor="text1"/>
          <w:kern w:val="0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微软雅黑" w:eastAsia="方正小标宋_GBK" w:cs="宋体"/>
          <w:color w:val="000000" w:themeColor="text1"/>
          <w:kern w:val="0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尖扎县扶贫开发局</w:t>
      </w:r>
    </w:p>
    <w:p>
      <w:pPr>
        <w:widowControl/>
        <w:shd w:val="clear" w:color="auto" w:fill="FFFFFF"/>
        <w:jc w:val="center"/>
        <w:rPr>
          <w:rFonts w:ascii="方正小标宋_GBK" w:hAnsi="微软雅黑" w:eastAsia="方正小标宋_GBK" w:cs="宋体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微软雅黑" w:eastAsia="方正小标宋_GBK" w:cs="宋体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2020年政府信息公开工作年度报告</w:t>
      </w:r>
    </w:p>
    <w:p>
      <w:pPr>
        <w:widowControl/>
        <w:shd w:val="clear" w:color="auto" w:fill="FFFFFF"/>
        <w:ind w:firstLine="440" w:firstLineChars="200"/>
        <w:jc w:val="left"/>
        <w:rPr>
          <w:rFonts w:ascii="宋体" w:hAnsi="宋体" w:eastAsia="宋体" w:cs="宋体"/>
          <w:color w:val="666666"/>
          <w:kern w:val="0"/>
          <w:sz w:val="22"/>
          <w:szCs w:val="22"/>
        </w:rPr>
      </w:pPr>
    </w:p>
    <w:p>
      <w:pPr>
        <w:widowControl/>
        <w:shd w:val="clear" w:color="auto" w:fill="FFFFFF"/>
        <w:ind w:firstLine="640" w:firstLineChars="200"/>
        <w:jc w:val="left"/>
        <w:rPr>
          <w:rFonts w:ascii="仿宋" w:hAnsi="仿宋" w:eastAsia="仿宋"/>
          <w:color w:val="000000"/>
          <w:sz w:val="32"/>
          <w:shd w:val="clear" w:color="auto" w:fill="FFFFFF"/>
        </w:rPr>
      </w:pPr>
      <w:r>
        <w:rPr>
          <w:rFonts w:hint="eastAsia" w:ascii="仿宋" w:hAnsi="仿宋" w:eastAsia="仿宋"/>
          <w:color w:val="000000"/>
          <w:sz w:val="32"/>
          <w:shd w:val="clear" w:color="auto" w:fill="FFFFFF"/>
        </w:rPr>
        <w:t>本报告依据《中华人民共和国政府信息公开条例》（以下简称《条例》）和《青海省实施〈中华人民共和国政府信息公开条例〉办法》（以下简称《实施办法》）要求编制。报告中所列数据的统计期限自</w:t>
      </w:r>
      <w:r>
        <w:rPr>
          <w:rFonts w:ascii="Times New Roman" w:hAnsi="Times New Roman" w:cs="Times New Roman"/>
          <w:color w:val="000000"/>
          <w:sz w:val="32"/>
          <w:shd w:val="clear" w:color="auto" w:fill="FFFFFF"/>
        </w:rPr>
        <w:t>2020</w:t>
      </w:r>
      <w:r>
        <w:rPr>
          <w:rFonts w:hint="eastAsia" w:ascii="仿宋" w:hAnsi="仿宋" w:eastAsia="仿宋"/>
          <w:color w:val="000000"/>
          <w:sz w:val="32"/>
          <w:shd w:val="clear" w:color="auto" w:fill="FFFFFF"/>
        </w:rPr>
        <w:t>年</w:t>
      </w:r>
      <w:r>
        <w:rPr>
          <w:rFonts w:ascii="Times New Roman" w:hAnsi="Times New Roman" w:cs="Times New Roman"/>
          <w:color w:val="000000"/>
          <w:sz w:val="32"/>
          <w:shd w:val="clear" w:color="auto" w:fill="FFFFFF"/>
        </w:rPr>
        <w:t>1</w:t>
      </w:r>
      <w:r>
        <w:rPr>
          <w:rFonts w:hint="eastAsia" w:ascii="仿宋" w:hAnsi="仿宋" w:eastAsia="仿宋"/>
          <w:color w:val="000000"/>
          <w:sz w:val="32"/>
          <w:shd w:val="clear" w:color="auto" w:fill="FFFFFF"/>
        </w:rPr>
        <w:t>月</w:t>
      </w:r>
      <w:r>
        <w:rPr>
          <w:rFonts w:ascii="Times New Roman" w:hAnsi="Times New Roman" w:cs="Times New Roman"/>
          <w:color w:val="000000"/>
          <w:sz w:val="32"/>
          <w:shd w:val="clear" w:color="auto" w:fill="FFFFFF"/>
        </w:rPr>
        <w:t>1</w:t>
      </w:r>
      <w:r>
        <w:rPr>
          <w:rFonts w:hint="eastAsia" w:ascii="仿宋" w:hAnsi="仿宋" w:eastAsia="仿宋"/>
          <w:color w:val="000000"/>
          <w:sz w:val="32"/>
          <w:shd w:val="clear" w:color="auto" w:fill="FFFFFF"/>
        </w:rPr>
        <w:t>日起，至</w:t>
      </w:r>
      <w:r>
        <w:rPr>
          <w:rFonts w:ascii="Times New Roman" w:hAnsi="Times New Roman" w:cs="Times New Roman"/>
          <w:color w:val="000000"/>
          <w:sz w:val="32"/>
          <w:shd w:val="clear" w:color="auto" w:fill="FFFFFF"/>
        </w:rPr>
        <w:t>2020</w:t>
      </w:r>
      <w:r>
        <w:rPr>
          <w:rFonts w:hint="eastAsia" w:ascii="仿宋" w:hAnsi="仿宋" w:eastAsia="仿宋"/>
          <w:color w:val="000000"/>
          <w:sz w:val="32"/>
          <w:shd w:val="clear" w:color="auto" w:fill="FFFFFF"/>
        </w:rPr>
        <w:t>年</w:t>
      </w:r>
      <w:r>
        <w:rPr>
          <w:rFonts w:ascii="Times New Roman" w:hAnsi="Times New Roman" w:cs="Times New Roman"/>
          <w:color w:val="000000"/>
          <w:sz w:val="32"/>
          <w:shd w:val="clear" w:color="auto" w:fill="FFFFFF"/>
        </w:rPr>
        <w:t>12</w:t>
      </w:r>
      <w:r>
        <w:rPr>
          <w:rFonts w:hint="eastAsia" w:ascii="仿宋" w:hAnsi="仿宋" w:eastAsia="仿宋"/>
          <w:color w:val="000000"/>
          <w:sz w:val="32"/>
          <w:shd w:val="clear" w:color="auto" w:fill="FFFFFF"/>
        </w:rPr>
        <w:t>月</w:t>
      </w:r>
      <w:r>
        <w:rPr>
          <w:rFonts w:ascii="Times New Roman" w:hAnsi="Times New Roman" w:cs="Times New Roman"/>
          <w:color w:val="000000"/>
          <w:sz w:val="32"/>
          <w:shd w:val="clear" w:color="auto" w:fill="FFFFFF"/>
        </w:rPr>
        <w:t>31</w:t>
      </w:r>
      <w:r>
        <w:rPr>
          <w:rFonts w:hint="eastAsia" w:ascii="仿宋" w:hAnsi="仿宋" w:eastAsia="仿宋"/>
          <w:color w:val="000000"/>
          <w:sz w:val="32"/>
          <w:shd w:val="clear" w:color="auto" w:fill="FFFFFF"/>
        </w:rPr>
        <w:t>日止。对本报告如有疑问，请联系：</w:t>
      </w:r>
      <w:r>
        <w:rPr>
          <w:rFonts w:hint="eastAsia" w:ascii="仿宋" w:hAnsi="仿宋" w:eastAsia="仿宋"/>
          <w:color w:val="000000"/>
          <w:sz w:val="32"/>
          <w:shd w:val="clear" w:color="auto" w:fill="FFFFFF"/>
          <w:lang w:eastAsia="zh-CN"/>
        </w:rPr>
        <w:t>尖扎县扶贫开发局</w:t>
      </w:r>
      <w:r>
        <w:rPr>
          <w:rFonts w:hint="eastAsia" w:ascii="仿宋" w:hAnsi="仿宋" w:eastAsia="仿宋"/>
          <w:color w:val="000000"/>
          <w:sz w:val="32"/>
          <w:shd w:val="clear" w:color="auto" w:fill="FFFFFF"/>
        </w:rPr>
        <w:t>（0973-</w:t>
      </w:r>
      <w:r>
        <w:rPr>
          <w:rFonts w:hint="eastAsia" w:ascii="仿宋" w:hAnsi="仿宋" w:eastAsia="仿宋"/>
          <w:color w:val="000000"/>
          <w:sz w:val="32"/>
          <w:shd w:val="clear" w:color="auto" w:fill="FFFFFF"/>
          <w:lang w:val="en-US" w:eastAsia="zh-CN"/>
        </w:rPr>
        <w:t>8734608</w:t>
      </w:r>
      <w:r>
        <w:rPr>
          <w:rFonts w:hint="eastAsia" w:ascii="仿宋" w:hAnsi="仿宋" w:eastAsia="仿宋"/>
          <w:color w:val="000000"/>
          <w:sz w:val="32"/>
          <w:shd w:val="clear" w:color="auto" w:fill="FFFFFF"/>
        </w:rPr>
        <w:t>）。</w:t>
      </w:r>
    </w:p>
    <w:p>
      <w:pPr>
        <w:widowControl/>
        <w:shd w:val="clear" w:color="auto" w:fill="FFFFFF"/>
        <w:ind w:firstLine="640" w:firstLineChars="200"/>
        <w:jc w:val="left"/>
        <w:rPr>
          <w:rFonts w:ascii="黑体" w:hAnsi="黑体" w:eastAsia="黑体" w:cs="宋体"/>
          <w:color w:val="000000"/>
          <w:kern w:val="0"/>
          <w:sz w:val="32"/>
        </w:rPr>
      </w:pPr>
      <w:r>
        <w:rPr>
          <w:rFonts w:hint="eastAsia" w:ascii="黑体" w:hAnsi="黑体" w:eastAsia="黑体" w:cs="宋体"/>
          <w:color w:val="000000"/>
          <w:kern w:val="0"/>
          <w:sz w:val="32"/>
        </w:rPr>
        <w:t>一、总体情况</w:t>
      </w:r>
    </w:p>
    <w:p>
      <w:pPr>
        <w:widowControl/>
        <w:shd w:val="clear" w:color="auto" w:fill="FFFFFF"/>
        <w:ind w:firstLine="640" w:firstLineChars="200"/>
        <w:jc w:val="left"/>
        <w:rPr>
          <w:rFonts w:hint="eastAsia" w:ascii="仿宋" w:hAnsi="仿宋" w:eastAsia="仿宋"/>
          <w:color w:val="000000"/>
          <w:sz w:val="32"/>
          <w:shd w:val="clear" w:color="auto" w:fill="FFFFFF"/>
        </w:rPr>
      </w:pPr>
      <w:r>
        <w:rPr>
          <w:rFonts w:hint="eastAsia" w:ascii="仿宋" w:hAnsi="仿宋" w:eastAsia="仿宋"/>
          <w:color w:val="000000"/>
          <w:sz w:val="32"/>
          <w:shd w:val="clear" w:color="auto" w:fill="FFFFFF"/>
        </w:rPr>
        <w:t>20</w:t>
      </w:r>
      <w:r>
        <w:rPr>
          <w:rFonts w:hint="eastAsia" w:ascii="仿宋" w:hAnsi="仿宋" w:eastAsia="仿宋"/>
          <w:color w:val="000000"/>
          <w:sz w:val="32"/>
          <w:shd w:val="clear" w:color="auto" w:fill="FFFFFF"/>
          <w:lang w:val="en-US" w:eastAsia="zh-CN"/>
        </w:rPr>
        <w:t>20</w:t>
      </w:r>
      <w:r>
        <w:rPr>
          <w:rFonts w:hint="eastAsia" w:ascii="仿宋" w:hAnsi="仿宋" w:eastAsia="仿宋"/>
          <w:color w:val="000000"/>
          <w:sz w:val="32"/>
          <w:shd w:val="clear" w:color="auto" w:fill="FFFFFF"/>
        </w:rPr>
        <w:t>年，</w:t>
      </w:r>
      <w:r>
        <w:rPr>
          <w:rFonts w:hint="eastAsia" w:ascii="仿宋" w:hAnsi="仿宋" w:eastAsia="仿宋"/>
          <w:color w:val="000000"/>
          <w:sz w:val="32"/>
          <w:shd w:val="clear" w:color="auto" w:fill="FFFFFF"/>
          <w:lang w:eastAsia="zh-CN"/>
        </w:rPr>
        <w:t>尖扎县扶贫开发局</w:t>
      </w:r>
      <w:r>
        <w:rPr>
          <w:rFonts w:hint="eastAsia" w:ascii="仿宋" w:hAnsi="仿宋" w:eastAsia="仿宋"/>
          <w:color w:val="000000"/>
          <w:sz w:val="32"/>
          <w:shd w:val="clear" w:color="auto" w:fill="FFFFFF"/>
        </w:rPr>
        <w:t>按照县委、县政府的统一部署，</w:t>
      </w:r>
      <w:r>
        <w:rPr>
          <w:rFonts w:hint="eastAsia" w:ascii="仿宋_GB2312" w:hAnsi="仿宋_GB2312" w:eastAsia="仿宋_GB2312" w:cs="仿宋_GB2312"/>
          <w:color w:val="000000"/>
          <w:sz w:val="32"/>
          <w:shd w:val="clear" w:color="auto" w:fill="FFFFFF"/>
        </w:rPr>
        <w:t>严格按照《中华人民共和国政府信息公开条例》规定，</w:t>
      </w:r>
      <w:r>
        <w:rPr>
          <w:rFonts w:hint="eastAsia" w:ascii="仿宋" w:hAnsi="仿宋" w:eastAsia="仿宋"/>
          <w:color w:val="000000"/>
          <w:sz w:val="32"/>
          <w:shd w:val="clear" w:color="auto" w:fill="FFFFFF"/>
        </w:rPr>
        <w:t>认真贯彻落实《条例》和省、</w:t>
      </w:r>
      <w:r>
        <w:rPr>
          <w:rFonts w:hint="eastAsia" w:ascii="仿宋" w:hAnsi="仿宋" w:eastAsia="仿宋"/>
          <w:color w:val="000000"/>
          <w:sz w:val="32"/>
          <w:shd w:val="clear" w:color="auto" w:fill="FFFFFF"/>
          <w:lang w:eastAsia="zh-CN"/>
        </w:rPr>
        <w:t>州</w:t>
      </w:r>
      <w:r>
        <w:rPr>
          <w:rFonts w:hint="eastAsia" w:ascii="仿宋" w:hAnsi="仿宋" w:eastAsia="仿宋"/>
          <w:color w:val="000000"/>
          <w:sz w:val="32"/>
          <w:shd w:val="clear" w:color="auto" w:fill="FFFFFF"/>
        </w:rPr>
        <w:t>关于政府信息公开工作的要求</w:t>
      </w:r>
      <w:r>
        <w:rPr>
          <w:rFonts w:hint="eastAsia" w:ascii="仿宋" w:hAnsi="仿宋" w:eastAsia="仿宋"/>
          <w:color w:val="000000"/>
          <w:sz w:val="32"/>
          <w:shd w:val="clear" w:color="auto" w:fill="FFFFFF"/>
          <w:lang w:eastAsia="zh-CN"/>
        </w:rPr>
        <w:t>，</w:t>
      </w:r>
      <w:r>
        <w:rPr>
          <w:rFonts w:hint="eastAsia" w:ascii="仿宋" w:hAnsi="仿宋" w:eastAsia="仿宋"/>
          <w:color w:val="000000"/>
          <w:sz w:val="32"/>
          <w:shd w:val="clear" w:color="auto" w:fill="FFFFFF"/>
        </w:rPr>
        <w:t>紧扣本单位的工作实际，</w:t>
      </w:r>
      <w:r>
        <w:rPr>
          <w:rFonts w:hint="eastAsia" w:ascii="仿宋_GB2312" w:hAnsi="仿宋_GB2312" w:eastAsia="仿宋_GB2312" w:cs="仿宋_GB2312"/>
          <w:color w:val="000000"/>
          <w:sz w:val="32"/>
          <w:shd w:val="clear" w:color="auto" w:fill="FFFFFF"/>
        </w:rPr>
        <w:t>规范开展</w:t>
      </w:r>
      <w:r>
        <w:rPr>
          <w:rFonts w:hint="eastAsia" w:ascii="仿宋" w:hAnsi="仿宋" w:eastAsia="仿宋"/>
          <w:color w:val="000000"/>
          <w:sz w:val="32"/>
          <w:shd w:val="clear" w:color="auto" w:fill="FFFFFF"/>
          <w:lang w:eastAsia="zh-CN"/>
        </w:rPr>
        <w:t>、</w:t>
      </w:r>
      <w:r>
        <w:rPr>
          <w:rFonts w:hint="eastAsia" w:ascii="仿宋" w:hAnsi="仿宋" w:eastAsia="仿宋"/>
          <w:color w:val="000000"/>
          <w:sz w:val="32"/>
          <w:shd w:val="clear" w:color="auto" w:fill="FFFFFF"/>
        </w:rPr>
        <w:t>扎实推进</w:t>
      </w:r>
      <w:r>
        <w:rPr>
          <w:rFonts w:hint="eastAsia" w:ascii="仿宋_GB2312" w:hAnsi="仿宋_GB2312" w:eastAsia="仿宋_GB2312" w:cs="仿宋_GB2312"/>
          <w:color w:val="000000"/>
          <w:sz w:val="32"/>
          <w:shd w:val="clear" w:color="auto" w:fill="FFFFFF"/>
          <w:lang w:eastAsia="zh-CN"/>
        </w:rPr>
        <w:t>扶贫</w:t>
      </w:r>
      <w:r>
        <w:rPr>
          <w:rFonts w:hint="eastAsia" w:ascii="仿宋_GB2312" w:hAnsi="仿宋_GB2312" w:eastAsia="仿宋_GB2312" w:cs="仿宋_GB2312"/>
          <w:color w:val="000000"/>
          <w:sz w:val="32"/>
          <w:shd w:val="clear" w:color="auto" w:fill="FFFFFF"/>
        </w:rPr>
        <w:t>行业信息公开工作。</w:t>
      </w:r>
    </w:p>
    <w:p>
      <w:pPr>
        <w:widowControl/>
        <w:shd w:val="clear" w:color="auto" w:fill="FFFFFF"/>
        <w:ind w:firstLine="640" w:firstLineChars="200"/>
        <w:jc w:val="left"/>
        <w:rPr>
          <w:rFonts w:ascii="黑体" w:hAnsi="黑体" w:eastAsia="黑体" w:cs="宋体"/>
          <w:color w:val="000000"/>
          <w:kern w:val="0"/>
          <w:sz w:val="32"/>
        </w:rPr>
      </w:pPr>
      <w:r>
        <w:rPr>
          <w:rFonts w:hint="eastAsia" w:ascii="黑体" w:hAnsi="黑体" w:eastAsia="黑体" w:cs="宋体"/>
          <w:color w:val="000000"/>
          <w:kern w:val="0"/>
          <w:sz w:val="32"/>
        </w:rPr>
        <w:t>二、主动公开政府信息情况</w:t>
      </w:r>
    </w:p>
    <w:tbl>
      <w:tblPr>
        <w:tblStyle w:val="6"/>
        <w:tblW w:w="10206" w:type="dxa"/>
        <w:jc w:val="center"/>
        <w:tblCellSpacing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8"/>
        <w:gridCol w:w="1091"/>
        <w:gridCol w:w="2024"/>
        <w:gridCol w:w="1043"/>
        <w:gridCol w:w="1209"/>
        <w:gridCol w:w="2401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10206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  <w:szCs w:val="22"/>
              </w:rPr>
              <w:t>第二十条第（一）项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24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信息内容</w:t>
            </w:r>
          </w:p>
        </w:tc>
        <w:tc>
          <w:tcPr>
            <w:tcW w:w="311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本年新制作数量</w:t>
            </w:r>
          </w:p>
        </w:tc>
        <w:tc>
          <w:tcPr>
            <w:tcW w:w="225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本年新公开数量</w:t>
            </w:r>
          </w:p>
        </w:tc>
        <w:tc>
          <w:tcPr>
            <w:tcW w:w="24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对外公开总数量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24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规章</w:t>
            </w:r>
          </w:p>
        </w:tc>
        <w:tc>
          <w:tcPr>
            <w:tcW w:w="311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225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24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 xml:space="preserve">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24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规范性文件</w:t>
            </w:r>
          </w:p>
        </w:tc>
        <w:tc>
          <w:tcPr>
            <w:tcW w:w="311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225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24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10206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  <w:szCs w:val="22"/>
              </w:rPr>
              <w:t>第二十条第（五）项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24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信息内容</w:t>
            </w:r>
          </w:p>
        </w:tc>
        <w:tc>
          <w:tcPr>
            <w:tcW w:w="311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上一年项目数量</w:t>
            </w:r>
          </w:p>
        </w:tc>
        <w:tc>
          <w:tcPr>
            <w:tcW w:w="225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本年增/减</w:t>
            </w:r>
          </w:p>
        </w:tc>
        <w:tc>
          <w:tcPr>
            <w:tcW w:w="24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处理决定数量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24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行政许可</w:t>
            </w:r>
          </w:p>
        </w:tc>
        <w:tc>
          <w:tcPr>
            <w:tcW w:w="311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225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24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24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其他对外管理服务事项</w:t>
            </w:r>
          </w:p>
        </w:tc>
        <w:tc>
          <w:tcPr>
            <w:tcW w:w="311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8</w:t>
            </w:r>
            <w:bookmarkStart w:id="0" w:name="_GoBack"/>
            <w:bookmarkEnd w:id="0"/>
          </w:p>
        </w:tc>
        <w:tc>
          <w:tcPr>
            <w:tcW w:w="225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24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10206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  <w:szCs w:val="22"/>
              </w:rPr>
              <w:t>第二十条第（六）项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24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信息内容</w:t>
            </w:r>
          </w:p>
        </w:tc>
        <w:tc>
          <w:tcPr>
            <w:tcW w:w="311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上一年项目数量</w:t>
            </w:r>
          </w:p>
        </w:tc>
        <w:tc>
          <w:tcPr>
            <w:tcW w:w="225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本年增/减</w:t>
            </w:r>
          </w:p>
        </w:tc>
        <w:tc>
          <w:tcPr>
            <w:tcW w:w="24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处理决定数量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24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行政处罚</w:t>
            </w:r>
          </w:p>
        </w:tc>
        <w:tc>
          <w:tcPr>
            <w:tcW w:w="311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225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24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24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行政强制</w:t>
            </w:r>
          </w:p>
        </w:tc>
        <w:tc>
          <w:tcPr>
            <w:tcW w:w="311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225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24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10206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  <w:szCs w:val="22"/>
              </w:rPr>
              <w:t>第二十条第（八）项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352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信息内容</w:t>
            </w:r>
          </w:p>
        </w:tc>
        <w:tc>
          <w:tcPr>
            <w:tcW w:w="306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上一年项目数量</w:t>
            </w:r>
          </w:p>
        </w:tc>
        <w:tc>
          <w:tcPr>
            <w:tcW w:w="361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本年增/减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352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行政事业性收费</w:t>
            </w:r>
          </w:p>
        </w:tc>
        <w:tc>
          <w:tcPr>
            <w:tcW w:w="306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361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10206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  <w:szCs w:val="22"/>
              </w:rPr>
              <w:t>第二十条第（九）项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352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信息内容</w:t>
            </w:r>
          </w:p>
        </w:tc>
        <w:tc>
          <w:tcPr>
            <w:tcW w:w="306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采购项目数量</w:t>
            </w:r>
          </w:p>
        </w:tc>
        <w:tc>
          <w:tcPr>
            <w:tcW w:w="361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采购总金额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352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政府集中采购</w:t>
            </w:r>
          </w:p>
        </w:tc>
        <w:tc>
          <w:tcPr>
            <w:tcW w:w="306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361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69.37万元</w:t>
            </w:r>
          </w:p>
        </w:tc>
      </w:tr>
    </w:tbl>
    <w:p>
      <w:pPr>
        <w:widowControl/>
        <w:shd w:val="clear" w:color="auto" w:fill="FFFFFF"/>
        <w:ind w:firstLine="640" w:firstLineChars="200"/>
        <w:jc w:val="left"/>
        <w:rPr>
          <w:rFonts w:ascii="黑体" w:hAnsi="黑体" w:eastAsia="黑体" w:cs="宋体"/>
          <w:color w:val="000000"/>
          <w:kern w:val="0"/>
          <w:sz w:val="32"/>
        </w:rPr>
      </w:pPr>
      <w:r>
        <w:rPr>
          <w:rFonts w:hint="eastAsia" w:ascii="黑体" w:hAnsi="黑体" w:eastAsia="黑体" w:cs="宋体"/>
          <w:color w:val="000000"/>
          <w:kern w:val="0"/>
          <w:sz w:val="32"/>
        </w:rPr>
        <w:t>三、收到和处理政府信息公开申请情况</w:t>
      </w:r>
    </w:p>
    <w:tbl>
      <w:tblPr>
        <w:tblStyle w:val="6"/>
        <w:tblW w:w="10206" w:type="dxa"/>
        <w:jc w:val="center"/>
        <w:tblCellSpacing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39"/>
        <w:gridCol w:w="923"/>
        <w:gridCol w:w="3440"/>
        <w:gridCol w:w="503"/>
        <w:gridCol w:w="688"/>
        <w:gridCol w:w="1041"/>
        <w:gridCol w:w="923"/>
        <w:gridCol w:w="789"/>
        <w:gridCol w:w="571"/>
        <w:gridCol w:w="789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4335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（本列数据的勾稽关系为：第一项加第二项之和，等于第三项加第四项之和）</w:t>
            </w:r>
          </w:p>
        </w:tc>
        <w:tc>
          <w:tcPr>
            <w:tcW w:w="4725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申请人情况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45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自然人</w:t>
            </w:r>
          </w:p>
        </w:tc>
        <w:tc>
          <w:tcPr>
            <w:tcW w:w="358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法人或其他组织</w:t>
            </w:r>
          </w:p>
        </w:tc>
        <w:tc>
          <w:tcPr>
            <w:tcW w:w="675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总计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商业企业</w:t>
            </w:r>
          </w:p>
        </w:tc>
        <w:tc>
          <w:tcPr>
            <w:tcW w:w="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科研机构</w:t>
            </w:r>
          </w:p>
        </w:tc>
        <w:tc>
          <w:tcPr>
            <w:tcW w:w="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社会公益组织</w:t>
            </w:r>
          </w:p>
        </w:tc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法律服务机构</w:t>
            </w:r>
          </w:p>
        </w:tc>
        <w:tc>
          <w:tcPr>
            <w:tcW w:w="4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其他</w:t>
            </w: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433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楷体_GB2312" w:hAnsi="Times New Roman" w:eastAsia="楷体_GB2312" w:cs="Times New Roman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楷体_GB2312" w:hAnsi="Times New Roman" w:eastAsia="楷体_GB2312" w:cs="Times New Roman"/>
                <w:b/>
                <w:bCs/>
                <w:kern w:val="0"/>
                <w:sz w:val="22"/>
                <w:szCs w:val="22"/>
              </w:rPr>
              <w:t>一、本年新收政府信息公开申请数量</w:t>
            </w:r>
          </w:p>
        </w:tc>
        <w:tc>
          <w:tcPr>
            <w:tcW w:w="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4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433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楷体_GB2312" w:hAnsi="Times New Roman" w:eastAsia="楷体_GB2312" w:cs="Times New Roman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楷体_GB2312" w:hAnsi="Times New Roman" w:eastAsia="楷体_GB2312" w:cs="Times New Roman"/>
                <w:b/>
                <w:bCs/>
                <w:kern w:val="0"/>
                <w:sz w:val="22"/>
                <w:szCs w:val="22"/>
              </w:rPr>
              <w:t>二、上年结转政府信息公开申请数量</w:t>
            </w:r>
          </w:p>
        </w:tc>
        <w:tc>
          <w:tcPr>
            <w:tcW w:w="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4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435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楷体_GB2312" w:hAnsi="Times New Roman" w:eastAsia="楷体_GB2312" w:cs="Times New Roman"/>
                <w:b/>
                <w:bCs/>
                <w:kern w:val="0"/>
                <w:sz w:val="22"/>
                <w:szCs w:val="22"/>
              </w:rPr>
              <w:t>三、本年度办理结果</w:t>
            </w:r>
          </w:p>
        </w:tc>
        <w:tc>
          <w:tcPr>
            <w:tcW w:w="39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kern w:val="0"/>
                <w:sz w:val="22"/>
                <w:szCs w:val="22"/>
              </w:rPr>
              <w:t>（一）予以公开</w:t>
            </w:r>
          </w:p>
        </w:tc>
        <w:tc>
          <w:tcPr>
            <w:tcW w:w="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4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39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kern w:val="0"/>
                <w:sz w:val="22"/>
                <w:szCs w:val="22"/>
              </w:rPr>
              <w:t>（二）部分公开（区分处理的，只计这一情形，不计其他情形）</w:t>
            </w:r>
          </w:p>
        </w:tc>
        <w:tc>
          <w:tcPr>
            <w:tcW w:w="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4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vMerge w:val="restart"/>
            <w:tcBorders>
              <w:top w:val="inset" w:color="auto" w:sz="8" w:space="0"/>
              <w:left w:val="inset" w:color="auto" w:sz="8" w:space="0"/>
              <w:bottom w:val="inset" w:color="auto" w:sz="8" w:space="0"/>
              <w:right w:val="inset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kern w:val="0"/>
                <w:sz w:val="22"/>
                <w:szCs w:val="22"/>
              </w:rPr>
              <w:t>（三）不予公开</w:t>
            </w:r>
          </w:p>
        </w:tc>
        <w:tc>
          <w:tcPr>
            <w:tcW w:w="30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1.属于国家秘密</w:t>
            </w:r>
          </w:p>
        </w:tc>
        <w:tc>
          <w:tcPr>
            <w:tcW w:w="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4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inset" w:color="auto" w:sz="8" w:space="0"/>
              <w:left w:val="inset" w:color="auto" w:sz="8" w:space="0"/>
              <w:bottom w:val="inset" w:color="auto" w:sz="8" w:space="0"/>
              <w:right w:val="inset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2.其他法律行政法规禁止公开</w:t>
            </w:r>
          </w:p>
        </w:tc>
        <w:tc>
          <w:tcPr>
            <w:tcW w:w="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4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inset" w:color="auto" w:sz="8" w:space="0"/>
              <w:left w:val="inset" w:color="auto" w:sz="8" w:space="0"/>
              <w:bottom w:val="inset" w:color="auto" w:sz="8" w:space="0"/>
              <w:right w:val="inset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3.危及“三安全一稳定”</w:t>
            </w:r>
          </w:p>
        </w:tc>
        <w:tc>
          <w:tcPr>
            <w:tcW w:w="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4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inset" w:color="auto" w:sz="8" w:space="0"/>
              <w:left w:val="inset" w:color="auto" w:sz="8" w:space="0"/>
              <w:bottom w:val="inset" w:color="auto" w:sz="8" w:space="0"/>
              <w:right w:val="inset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4.保护第三方合法权益</w:t>
            </w:r>
          </w:p>
        </w:tc>
        <w:tc>
          <w:tcPr>
            <w:tcW w:w="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4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inset" w:color="auto" w:sz="8" w:space="0"/>
              <w:left w:val="inset" w:color="auto" w:sz="8" w:space="0"/>
              <w:bottom w:val="inset" w:color="auto" w:sz="8" w:space="0"/>
              <w:right w:val="inset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5.属于三类内部事务信息</w:t>
            </w:r>
          </w:p>
        </w:tc>
        <w:tc>
          <w:tcPr>
            <w:tcW w:w="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4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inset" w:color="auto" w:sz="8" w:space="0"/>
              <w:left w:val="inset" w:color="auto" w:sz="8" w:space="0"/>
              <w:bottom w:val="inset" w:color="auto" w:sz="8" w:space="0"/>
              <w:right w:val="inset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6.属于四类过程性信息</w:t>
            </w:r>
          </w:p>
        </w:tc>
        <w:tc>
          <w:tcPr>
            <w:tcW w:w="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4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inset" w:color="auto" w:sz="8" w:space="0"/>
              <w:left w:val="inset" w:color="auto" w:sz="8" w:space="0"/>
              <w:bottom w:val="inset" w:color="auto" w:sz="8" w:space="0"/>
              <w:right w:val="inset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7.属于行政执法案卷</w:t>
            </w:r>
          </w:p>
        </w:tc>
        <w:tc>
          <w:tcPr>
            <w:tcW w:w="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4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inset" w:color="auto" w:sz="8" w:space="0"/>
              <w:left w:val="inset" w:color="auto" w:sz="8" w:space="0"/>
              <w:bottom w:val="inset" w:color="auto" w:sz="8" w:space="0"/>
              <w:right w:val="inset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8.属于行政查询事项</w:t>
            </w:r>
          </w:p>
        </w:tc>
        <w:tc>
          <w:tcPr>
            <w:tcW w:w="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4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kern w:val="0"/>
                <w:sz w:val="22"/>
                <w:szCs w:val="22"/>
              </w:rPr>
              <w:t>（四）无法提供</w:t>
            </w:r>
          </w:p>
        </w:tc>
        <w:tc>
          <w:tcPr>
            <w:tcW w:w="30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1.本机关不掌握相关政府信息</w:t>
            </w:r>
          </w:p>
        </w:tc>
        <w:tc>
          <w:tcPr>
            <w:tcW w:w="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4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2.没有现成信息需要另行制作</w:t>
            </w:r>
          </w:p>
        </w:tc>
        <w:tc>
          <w:tcPr>
            <w:tcW w:w="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4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3.补正后申请内容仍不明确</w:t>
            </w:r>
          </w:p>
        </w:tc>
        <w:tc>
          <w:tcPr>
            <w:tcW w:w="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4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kern w:val="0"/>
                <w:sz w:val="22"/>
                <w:szCs w:val="22"/>
              </w:rPr>
              <w:t>（五）不予处理</w:t>
            </w:r>
          </w:p>
        </w:tc>
        <w:tc>
          <w:tcPr>
            <w:tcW w:w="30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1.信访举报投诉类申请</w:t>
            </w:r>
          </w:p>
        </w:tc>
        <w:tc>
          <w:tcPr>
            <w:tcW w:w="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4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2.重复申请</w:t>
            </w:r>
          </w:p>
        </w:tc>
        <w:tc>
          <w:tcPr>
            <w:tcW w:w="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4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3.要求提供公开出版物</w:t>
            </w:r>
          </w:p>
        </w:tc>
        <w:tc>
          <w:tcPr>
            <w:tcW w:w="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4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4.无正当理由大量反复申请</w:t>
            </w:r>
          </w:p>
        </w:tc>
        <w:tc>
          <w:tcPr>
            <w:tcW w:w="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4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5.要求行政机关确认或重新出具已获取信息</w:t>
            </w:r>
          </w:p>
        </w:tc>
        <w:tc>
          <w:tcPr>
            <w:tcW w:w="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4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39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kern w:val="0"/>
                <w:sz w:val="22"/>
                <w:szCs w:val="22"/>
              </w:rPr>
              <w:t>（六）其他处理</w:t>
            </w:r>
          </w:p>
        </w:tc>
        <w:tc>
          <w:tcPr>
            <w:tcW w:w="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4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39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kern w:val="0"/>
                <w:sz w:val="22"/>
                <w:szCs w:val="22"/>
              </w:rPr>
              <w:t>（七）总计</w:t>
            </w:r>
          </w:p>
        </w:tc>
        <w:tc>
          <w:tcPr>
            <w:tcW w:w="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4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433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楷体_GB2312" w:hAnsi="宋体" w:eastAsia="楷体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楷体_GB2312" w:hAnsi="Times New Roman" w:eastAsia="楷体_GB2312" w:cs="Times New Roman"/>
                <w:b/>
                <w:bCs/>
                <w:kern w:val="0"/>
                <w:sz w:val="22"/>
                <w:szCs w:val="22"/>
              </w:rPr>
              <w:t>四、结转下年度继续办理</w:t>
            </w:r>
          </w:p>
        </w:tc>
        <w:tc>
          <w:tcPr>
            <w:tcW w:w="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4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widowControl/>
        <w:shd w:val="clear" w:color="auto" w:fill="FFFFFF"/>
        <w:ind w:firstLine="640" w:firstLineChars="200"/>
        <w:jc w:val="left"/>
        <w:rPr>
          <w:rFonts w:ascii="黑体" w:hAnsi="黑体" w:eastAsia="黑体" w:cs="宋体"/>
          <w:color w:val="000000"/>
          <w:kern w:val="0"/>
          <w:sz w:val="32"/>
        </w:rPr>
      </w:pPr>
      <w:r>
        <w:rPr>
          <w:rFonts w:hint="eastAsia" w:ascii="黑体" w:hAnsi="黑体" w:eastAsia="黑体" w:cs="宋体"/>
          <w:color w:val="000000"/>
          <w:kern w:val="0"/>
          <w:sz w:val="32"/>
        </w:rPr>
        <w:t>四、政府信息公开行政复议、行政诉讼情况</w:t>
      </w:r>
    </w:p>
    <w:tbl>
      <w:tblPr>
        <w:tblStyle w:val="6"/>
        <w:tblW w:w="10206" w:type="dxa"/>
        <w:jc w:val="center"/>
        <w:tblCellSpacing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77"/>
        <w:gridCol w:w="677"/>
        <w:gridCol w:w="677"/>
        <w:gridCol w:w="677"/>
        <w:gridCol w:w="745"/>
        <w:gridCol w:w="609"/>
        <w:gridCol w:w="677"/>
        <w:gridCol w:w="677"/>
        <w:gridCol w:w="677"/>
        <w:gridCol w:w="711"/>
        <w:gridCol w:w="677"/>
        <w:gridCol w:w="677"/>
        <w:gridCol w:w="677"/>
        <w:gridCol w:w="677"/>
        <w:gridCol w:w="694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345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行政复议</w:t>
            </w:r>
          </w:p>
        </w:tc>
        <w:tc>
          <w:tcPr>
            <w:tcW w:w="6753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行政诉讼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677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结果维持</w:t>
            </w:r>
          </w:p>
        </w:tc>
        <w:tc>
          <w:tcPr>
            <w:tcW w:w="677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结果纠正</w:t>
            </w:r>
          </w:p>
        </w:tc>
        <w:tc>
          <w:tcPr>
            <w:tcW w:w="677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其他结果</w:t>
            </w:r>
          </w:p>
        </w:tc>
        <w:tc>
          <w:tcPr>
            <w:tcW w:w="677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尚未审结</w:t>
            </w:r>
          </w:p>
        </w:tc>
        <w:tc>
          <w:tcPr>
            <w:tcW w:w="745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总计</w:t>
            </w:r>
          </w:p>
        </w:tc>
        <w:tc>
          <w:tcPr>
            <w:tcW w:w="3351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未经复议直接起诉</w:t>
            </w:r>
          </w:p>
        </w:tc>
        <w:tc>
          <w:tcPr>
            <w:tcW w:w="340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复议后起诉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结果维持</w:t>
            </w: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结果纠正</w:t>
            </w: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其他结果</w:t>
            </w: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尚未审结</w:t>
            </w:r>
          </w:p>
        </w:tc>
        <w:tc>
          <w:tcPr>
            <w:tcW w:w="7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总计</w:t>
            </w: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结果维持</w:t>
            </w: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结果纠正</w:t>
            </w: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其他结果</w:t>
            </w: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尚未审结</w:t>
            </w:r>
          </w:p>
        </w:tc>
        <w:tc>
          <w:tcPr>
            <w:tcW w:w="6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总计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widowControl/>
        <w:shd w:val="clear" w:color="auto" w:fill="FFFFFF"/>
        <w:ind w:firstLine="640" w:firstLineChars="200"/>
        <w:jc w:val="left"/>
        <w:rPr>
          <w:rFonts w:ascii="黑体" w:hAnsi="黑体" w:eastAsia="黑体" w:cs="宋体"/>
          <w:color w:val="000000"/>
          <w:kern w:val="0"/>
          <w:sz w:val="32"/>
        </w:rPr>
      </w:pPr>
      <w:r>
        <w:rPr>
          <w:rFonts w:hint="eastAsia" w:ascii="黑体" w:hAnsi="黑体" w:eastAsia="黑体" w:cs="宋体"/>
          <w:color w:val="000000"/>
          <w:kern w:val="0"/>
          <w:sz w:val="32"/>
        </w:rPr>
        <w:t>五、存在的主要问题及改进情况</w:t>
      </w:r>
    </w:p>
    <w:p>
      <w:pPr>
        <w:widowControl/>
        <w:shd w:val="clear" w:color="auto" w:fill="FFFFFF"/>
        <w:spacing w:line="561" w:lineRule="atLeast"/>
        <w:ind w:firstLine="480"/>
        <w:jc w:val="left"/>
        <w:rPr>
          <w:rFonts w:ascii="楷体_GB2312" w:hAnsi="宋体" w:eastAsia="楷体_GB2312" w:cs="宋体"/>
          <w:b/>
          <w:bCs/>
          <w:color w:val="000000"/>
          <w:kern w:val="0"/>
          <w:sz w:val="32"/>
        </w:rPr>
      </w:pPr>
      <w:r>
        <w:rPr>
          <w:rFonts w:hint="eastAsia" w:ascii="楷体_GB2312" w:hAnsi="宋体" w:eastAsia="楷体_GB2312" w:cs="宋体"/>
          <w:b/>
          <w:bCs/>
          <w:color w:val="000000"/>
          <w:kern w:val="0"/>
          <w:sz w:val="32"/>
        </w:rPr>
        <w:t>（一）存在问题</w:t>
      </w:r>
    </w:p>
    <w:p>
      <w:pPr>
        <w:widowControl/>
        <w:shd w:val="clear" w:color="auto" w:fill="FFFFFF"/>
        <w:spacing w:line="561" w:lineRule="atLeast"/>
        <w:ind w:firstLine="480"/>
        <w:jc w:val="left"/>
        <w:rPr>
          <w:rFonts w:hint="eastAsia" w:ascii="仿宋" w:hAnsi="仿宋" w:eastAsia="仿宋"/>
          <w:color w:val="000000"/>
          <w:sz w:val="32"/>
          <w:shd w:val="clear" w:color="auto" w:fill="FFFFFF"/>
        </w:rPr>
      </w:pPr>
      <w:r>
        <w:rPr>
          <w:rFonts w:hint="eastAsia" w:ascii="仿宋" w:hAnsi="仿宋" w:eastAsia="仿宋"/>
          <w:color w:val="000000"/>
          <w:sz w:val="32"/>
          <w:shd w:val="clear" w:color="auto" w:fill="FFFFFF"/>
        </w:rPr>
        <w:t>我局公开政府信息的意识还需要进一步提高，政府信息公开工作的配套制度和工作机制还需要进一步完善，方便公众获取政府信息的形式还需要进一步改进。</w:t>
      </w:r>
    </w:p>
    <w:p>
      <w:pPr>
        <w:widowControl/>
        <w:shd w:val="clear" w:color="auto" w:fill="FFFFFF"/>
        <w:spacing w:line="561" w:lineRule="atLeast"/>
        <w:ind w:firstLine="480"/>
        <w:jc w:val="left"/>
        <w:rPr>
          <w:rFonts w:ascii="楷体_GB2312" w:hAnsi="宋体" w:eastAsia="楷体_GB2312" w:cs="宋体"/>
          <w:b/>
          <w:bCs/>
          <w:color w:val="000000"/>
          <w:kern w:val="0"/>
          <w:sz w:val="32"/>
        </w:rPr>
      </w:pPr>
      <w:r>
        <w:rPr>
          <w:rFonts w:hint="eastAsia" w:ascii="楷体_GB2312" w:hAnsi="宋体" w:eastAsia="楷体_GB2312" w:cs="宋体"/>
          <w:b/>
          <w:bCs/>
          <w:color w:val="000000"/>
          <w:kern w:val="0"/>
          <w:sz w:val="32"/>
        </w:rPr>
        <w:t>（二）改进措施</w:t>
      </w:r>
    </w:p>
    <w:p>
      <w:pPr>
        <w:widowControl/>
        <w:shd w:val="clear" w:color="auto" w:fill="FFFFFF"/>
        <w:ind w:firstLine="640" w:firstLineChars="200"/>
        <w:jc w:val="left"/>
        <w:rPr>
          <w:rFonts w:hint="eastAsia" w:ascii="仿宋" w:hAnsi="仿宋" w:eastAsia="仿宋"/>
          <w:color w:val="000000"/>
          <w:sz w:val="32"/>
          <w:shd w:val="clear" w:color="auto" w:fill="FFFFFF"/>
        </w:rPr>
      </w:pPr>
      <w:r>
        <w:rPr>
          <w:rFonts w:hint="eastAsia" w:ascii="仿宋" w:hAnsi="仿宋" w:eastAsia="仿宋"/>
          <w:color w:val="000000"/>
          <w:sz w:val="32"/>
          <w:shd w:val="clear" w:color="auto" w:fill="FFFFFF"/>
        </w:rPr>
        <w:t>202</w:t>
      </w:r>
      <w:r>
        <w:rPr>
          <w:rFonts w:hint="eastAsia" w:ascii="仿宋" w:hAnsi="仿宋" w:eastAsia="仿宋"/>
          <w:color w:val="000000"/>
          <w:sz w:val="32"/>
          <w:shd w:val="clear" w:color="auto" w:fill="FFFFFF"/>
          <w:lang w:val="en-US" w:eastAsia="zh-CN"/>
        </w:rPr>
        <w:t>1</w:t>
      </w:r>
      <w:r>
        <w:rPr>
          <w:rFonts w:hint="eastAsia" w:ascii="仿宋" w:hAnsi="仿宋" w:eastAsia="仿宋"/>
          <w:color w:val="000000"/>
          <w:sz w:val="32"/>
          <w:shd w:val="clear" w:color="auto" w:fill="FFFFFF"/>
        </w:rPr>
        <w:t>年，我局将采取以下措施加以改进：</w:t>
      </w:r>
    </w:p>
    <w:p>
      <w:pPr>
        <w:widowControl/>
        <w:shd w:val="clear" w:color="auto" w:fill="FFFFFF"/>
        <w:ind w:firstLine="640" w:firstLineChars="200"/>
        <w:jc w:val="left"/>
        <w:rPr>
          <w:rFonts w:hint="eastAsia" w:ascii="仿宋" w:hAnsi="仿宋" w:eastAsia="仿宋"/>
          <w:color w:val="000000"/>
          <w:sz w:val="32"/>
          <w:shd w:val="clear" w:color="auto" w:fill="FFFFFF"/>
        </w:rPr>
      </w:pPr>
      <w:r>
        <w:rPr>
          <w:rFonts w:hint="eastAsia" w:ascii="仿宋" w:hAnsi="仿宋" w:eastAsia="仿宋"/>
          <w:color w:val="000000"/>
          <w:sz w:val="32"/>
          <w:shd w:val="clear" w:color="auto" w:fill="FFFFFF"/>
        </w:rPr>
        <w:t>一是进一步增强工作人员的信息公开意识，规范公开程序，提高信息公开工作水平。</w:t>
      </w:r>
    </w:p>
    <w:p>
      <w:pPr>
        <w:widowControl/>
        <w:shd w:val="clear" w:color="auto" w:fill="FFFFFF"/>
        <w:ind w:firstLine="640" w:firstLineChars="200"/>
        <w:jc w:val="left"/>
        <w:rPr>
          <w:rFonts w:hint="eastAsia" w:ascii="仿宋" w:hAnsi="仿宋" w:eastAsia="仿宋"/>
          <w:color w:val="000000"/>
          <w:sz w:val="32"/>
          <w:shd w:val="clear" w:color="auto" w:fill="FFFFFF"/>
        </w:rPr>
      </w:pPr>
      <w:r>
        <w:rPr>
          <w:rFonts w:hint="eastAsia" w:ascii="仿宋" w:hAnsi="仿宋" w:eastAsia="仿宋"/>
          <w:color w:val="000000"/>
          <w:sz w:val="32"/>
          <w:shd w:val="clear" w:color="auto" w:fill="FFFFFF"/>
        </w:rPr>
        <w:t>二是强化管理，将政府信息公开工作和业务工作紧密结合，进一步充实信息公开内容，突出重点、难点问题</w:t>
      </w:r>
      <w:r>
        <w:rPr>
          <w:rFonts w:hint="eastAsia" w:ascii="仿宋" w:hAnsi="仿宋" w:eastAsia="仿宋"/>
          <w:color w:val="000000"/>
          <w:sz w:val="32"/>
          <w:shd w:val="clear" w:color="auto" w:fill="FFFFFF"/>
          <w:lang w:eastAsia="zh-CN"/>
        </w:rPr>
        <w:t>，</w:t>
      </w:r>
      <w:r>
        <w:rPr>
          <w:rFonts w:hint="eastAsia" w:ascii="仿宋" w:hAnsi="仿宋" w:eastAsia="仿宋"/>
          <w:color w:val="000000"/>
          <w:sz w:val="32"/>
          <w:shd w:val="clear" w:color="auto" w:fill="FFFFFF"/>
        </w:rPr>
        <w:t>不断丰富信息公开的内容，继续强化信息内容更新。</w:t>
      </w:r>
    </w:p>
    <w:p>
      <w:pPr>
        <w:widowControl/>
        <w:shd w:val="clear" w:color="auto" w:fill="FFFFFF"/>
        <w:ind w:firstLine="640" w:firstLineChars="200"/>
        <w:jc w:val="left"/>
        <w:rPr>
          <w:rFonts w:hint="eastAsia" w:ascii="仿宋" w:hAnsi="仿宋" w:eastAsia="仿宋"/>
          <w:color w:val="000000"/>
          <w:sz w:val="32"/>
          <w:shd w:val="clear" w:color="auto" w:fill="FFFFFF"/>
        </w:rPr>
      </w:pPr>
      <w:r>
        <w:rPr>
          <w:rFonts w:hint="eastAsia" w:ascii="仿宋" w:hAnsi="仿宋" w:eastAsia="仿宋"/>
          <w:color w:val="000000"/>
          <w:sz w:val="32"/>
          <w:shd w:val="clear" w:color="auto" w:fill="FFFFFF"/>
        </w:rPr>
        <w:t>三是进一步完善信息公开制度建设，建立健全信息公开工作长效机制，把政</w:t>
      </w:r>
      <w:r>
        <w:rPr>
          <w:rFonts w:hint="eastAsia" w:ascii="仿宋" w:hAnsi="仿宋" w:eastAsia="仿宋"/>
          <w:color w:val="000000"/>
          <w:sz w:val="32"/>
          <w:shd w:val="clear" w:color="auto" w:fill="FFFFFF"/>
          <w:lang w:eastAsia="zh-CN"/>
        </w:rPr>
        <w:t>府</w:t>
      </w:r>
      <w:r>
        <w:rPr>
          <w:rFonts w:hint="eastAsia" w:ascii="仿宋" w:hAnsi="仿宋" w:eastAsia="仿宋"/>
          <w:color w:val="000000"/>
          <w:sz w:val="32"/>
          <w:shd w:val="clear" w:color="auto" w:fill="FFFFFF"/>
        </w:rPr>
        <w:t>信息公开工作作为长期的动态工作落到实处，确保公开信息的及时性、准确性和有效性，为深化政</w:t>
      </w:r>
      <w:r>
        <w:rPr>
          <w:rFonts w:hint="eastAsia" w:ascii="仿宋" w:hAnsi="仿宋" w:eastAsia="仿宋"/>
          <w:color w:val="000000"/>
          <w:sz w:val="32"/>
          <w:shd w:val="clear" w:color="auto" w:fill="FFFFFF"/>
          <w:lang w:eastAsia="zh-CN"/>
        </w:rPr>
        <w:t>府</w:t>
      </w:r>
      <w:r>
        <w:rPr>
          <w:rFonts w:hint="eastAsia" w:ascii="仿宋" w:hAnsi="仿宋" w:eastAsia="仿宋"/>
          <w:color w:val="000000"/>
          <w:sz w:val="32"/>
          <w:shd w:val="clear" w:color="auto" w:fill="FFFFFF"/>
        </w:rPr>
        <w:t>信息公开提供强有力的组织保证。</w:t>
      </w:r>
    </w:p>
    <w:p>
      <w:pPr>
        <w:widowControl/>
        <w:numPr>
          <w:ilvl w:val="0"/>
          <w:numId w:val="1"/>
        </w:numPr>
        <w:shd w:val="clear" w:color="auto" w:fill="FFFFFF"/>
        <w:ind w:firstLine="640" w:firstLineChars="200"/>
        <w:jc w:val="left"/>
        <w:rPr>
          <w:rFonts w:hint="eastAsia" w:ascii="黑体" w:hAnsi="黑体" w:eastAsia="黑体" w:cs="宋体"/>
          <w:color w:val="000000"/>
          <w:kern w:val="0"/>
          <w:sz w:val="32"/>
        </w:rPr>
      </w:pPr>
      <w:r>
        <w:rPr>
          <w:rFonts w:hint="eastAsia" w:ascii="黑体" w:hAnsi="黑体" w:eastAsia="黑体" w:cs="宋体"/>
          <w:color w:val="000000"/>
          <w:kern w:val="0"/>
          <w:sz w:val="32"/>
        </w:rPr>
        <w:t>其他需要报告的事项</w:t>
      </w:r>
    </w:p>
    <w:p>
      <w:pPr>
        <w:widowControl/>
        <w:shd w:val="clear" w:color="auto" w:fill="FFFFFF"/>
        <w:ind w:firstLine="640" w:firstLineChars="200"/>
        <w:jc w:val="left"/>
        <w:rPr>
          <w:rFonts w:hint="eastAsia" w:ascii="仿宋" w:hAnsi="仿宋" w:eastAsia="仿宋"/>
          <w:color w:val="000000"/>
          <w:sz w:val="32"/>
          <w:shd w:val="clear" w:color="auto" w:fill="FFFFFF"/>
          <w:lang w:eastAsia="zh-CN"/>
        </w:rPr>
      </w:pPr>
      <w:r>
        <w:rPr>
          <w:rFonts w:hint="eastAsia" w:ascii="仿宋" w:hAnsi="仿宋" w:eastAsia="仿宋"/>
          <w:color w:val="000000"/>
          <w:sz w:val="32"/>
          <w:shd w:val="clear" w:color="auto" w:fill="FFFFFF"/>
        </w:rPr>
        <w:t>没有其他需要报告的事项</w:t>
      </w:r>
      <w:r>
        <w:rPr>
          <w:rFonts w:hint="eastAsia" w:ascii="仿宋" w:hAnsi="仿宋" w:eastAsia="仿宋"/>
          <w:color w:val="000000"/>
          <w:sz w:val="32"/>
          <w:shd w:val="clear" w:color="auto" w:fill="FFFFFF"/>
          <w:lang w:eastAsia="zh-CN"/>
        </w:rPr>
        <w:t>。</w:t>
      </w:r>
    </w:p>
    <w:p>
      <w:pPr>
        <w:widowControl/>
        <w:shd w:val="clear" w:color="auto" w:fill="FFFFFF"/>
        <w:ind w:firstLine="640" w:firstLineChars="200"/>
        <w:jc w:val="right"/>
        <w:rPr>
          <w:rFonts w:hint="eastAsia" w:ascii="仿宋" w:hAnsi="仿宋" w:eastAsia="仿宋"/>
          <w:color w:val="000000"/>
          <w:sz w:val="32"/>
          <w:shd w:val="clear" w:color="auto" w:fill="FFFFFF"/>
          <w:lang w:eastAsia="zh-CN"/>
        </w:rPr>
      </w:pPr>
    </w:p>
    <w:p>
      <w:pPr>
        <w:widowControl/>
        <w:shd w:val="clear" w:color="auto" w:fill="FFFFFF"/>
        <w:ind w:firstLine="640" w:firstLineChars="200"/>
        <w:jc w:val="right"/>
        <w:rPr>
          <w:rFonts w:hint="eastAsia" w:ascii="仿宋" w:hAnsi="仿宋" w:eastAsia="仿宋"/>
          <w:color w:val="000000"/>
          <w:sz w:val="32"/>
          <w:shd w:val="clear" w:color="auto" w:fill="FFFFFF"/>
          <w:lang w:eastAsia="zh-CN"/>
        </w:rPr>
      </w:pPr>
    </w:p>
    <w:p>
      <w:pPr>
        <w:widowControl/>
        <w:shd w:val="clear" w:color="auto" w:fill="FFFFFF"/>
        <w:ind w:firstLine="640" w:firstLineChars="200"/>
        <w:jc w:val="right"/>
        <w:rPr>
          <w:rFonts w:hint="eastAsia" w:ascii="仿宋" w:hAnsi="仿宋" w:eastAsia="仿宋"/>
          <w:color w:val="000000"/>
          <w:sz w:val="32"/>
          <w:shd w:val="clear" w:color="auto" w:fill="FFFFFF"/>
          <w:lang w:eastAsia="zh-CN"/>
        </w:rPr>
      </w:pPr>
      <w:r>
        <w:rPr>
          <w:rFonts w:hint="eastAsia" w:ascii="仿宋" w:hAnsi="仿宋" w:eastAsia="仿宋"/>
          <w:color w:val="000000"/>
          <w:sz w:val="32"/>
          <w:shd w:val="clear" w:color="auto" w:fill="FFFFFF"/>
          <w:lang w:eastAsia="zh-CN"/>
        </w:rPr>
        <w:t>尖扎县扶贫开发局</w:t>
      </w:r>
    </w:p>
    <w:p>
      <w:pPr>
        <w:widowControl/>
        <w:shd w:val="clear" w:color="auto" w:fill="FFFFFF"/>
        <w:ind w:firstLine="640" w:firstLineChars="200"/>
        <w:jc w:val="right"/>
        <w:rPr>
          <w:rFonts w:hint="default"/>
          <w:lang w:val="en-US" w:eastAsia="zh-CN"/>
        </w:rPr>
      </w:pPr>
      <w:r>
        <w:rPr>
          <w:rFonts w:hint="eastAsia" w:ascii="仿宋" w:hAnsi="仿宋" w:eastAsia="仿宋"/>
          <w:color w:val="000000"/>
          <w:sz w:val="32"/>
          <w:shd w:val="clear" w:color="auto" w:fill="FFFFFF"/>
          <w:lang w:val="en-US" w:eastAsia="zh-CN"/>
        </w:rPr>
        <w:t>2021年4月25日</w:t>
      </w:r>
    </w:p>
    <w:p>
      <w:pPr>
        <w:pStyle w:val="2"/>
        <w:jc w:val="right"/>
        <w:rPr>
          <w:rFonts w:hint="default"/>
          <w:lang w:val="en-US" w:eastAsia="zh-CN"/>
        </w:rPr>
      </w:pPr>
    </w:p>
    <w:sectPr>
      <w:pgSz w:w="11906" w:h="16838"/>
      <w:pgMar w:top="1440" w:right="1440" w:bottom="144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Microsoft Himalaya">
    <w:panose1 w:val="01010100010101010101"/>
    <w:charset w:val="00"/>
    <w:family w:val="auto"/>
    <w:pitch w:val="default"/>
    <w:sig w:usb0="80000003" w:usb1="00010000" w:usb2="00000040" w:usb3="00000000" w:csb0="0000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C5FF169"/>
    <w:multiLevelType w:val="singleLevel"/>
    <w:tmpl w:val="0C5FF169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4F8"/>
    <w:rsid w:val="00311377"/>
    <w:rsid w:val="00315013"/>
    <w:rsid w:val="005807B6"/>
    <w:rsid w:val="00730401"/>
    <w:rsid w:val="007C6AFF"/>
    <w:rsid w:val="00A014F8"/>
    <w:rsid w:val="00AA4DAF"/>
    <w:rsid w:val="00C86AD6"/>
    <w:rsid w:val="00E531F7"/>
    <w:rsid w:val="00FC4F54"/>
    <w:rsid w:val="2BB23F77"/>
    <w:rsid w:val="45DD7B35"/>
    <w:rsid w:val="5CB62AF4"/>
    <w:rsid w:val="655F40C5"/>
    <w:rsid w:val="662D4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76" w:lineRule="exact"/>
      <w:jc w:val="both"/>
    </w:pPr>
    <w:rPr>
      <w:rFonts w:asciiTheme="minorHAnsi" w:hAnsiTheme="minorHAnsi" w:eastAsiaTheme="minorEastAsia" w:cstheme="minorBidi"/>
      <w:kern w:val="2"/>
      <w:sz w:val="21"/>
      <w:szCs w:val="32"/>
      <w:lang w:val="en-US" w:eastAsia="zh-CN" w:bidi="bo-CN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26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26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 w:line="240" w:lineRule="auto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8">
    <w:name w:val="p"/>
    <w:basedOn w:val="1"/>
    <w:qFormat/>
    <w:uiPriority w:val="0"/>
    <w:pPr>
      <w:widowControl/>
      <w:spacing w:before="100" w:beforeAutospacing="1" w:after="100" w:afterAutospacing="1" w:line="240" w:lineRule="auto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26"/>
    </w:rPr>
  </w:style>
  <w:style w:type="character" w:customStyle="1" w:styleId="10">
    <w:name w:val="页脚 Char"/>
    <w:basedOn w:val="7"/>
    <w:link w:val="3"/>
    <w:semiHidden/>
    <w:qFormat/>
    <w:uiPriority w:val="99"/>
    <w:rPr>
      <w:sz w:val="18"/>
      <w:szCs w:val="26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5</Pages>
  <Words>234</Words>
  <Characters>1337</Characters>
  <Lines>11</Lines>
  <Paragraphs>3</Paragraphs>
  <TotalTime>3</TotalTime>
  <ScaleCrop>false</ScaleCrop>
  <LinksUpToDate>false</LinksUpToDate>
  <CharactersWithSpaces>1568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2021-04-23T06:56:00Z</dcterms:created>
  <dc:creator>未定义</dc:creator>
  <cp:lastModifiedBy>Administrator</cp:lastModifiedBy>
  <dcterms:modified xsi:type="dcterms:W3CDTF">2021-04-27T03:42:24Z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F188F1B52E644A3DB05B49A54E599FE4</vt:lpwstr>
  </property>
</Properties>
</file>