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sz w:val="44"/>
          <w:szCs w:val="44"/>
        </w:rPr>
      </w:pPr>
      <w:r>
        <w:rPr>
          <w:rFonts w:hint="eastAsia" w:ascii="方正小标宋_GBK" w:eastAsia="方正小标宋_GBK"/>
          <w:sz w:val="44"/>
          <w:szCs w:val="44"/>
        </w:rPr>
        <w:t>尖扎县公安局</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2020年政府信息公开工作年度报告</w:t>
      </w:r>
    </w:p>
    <w:p>
      <w:pPr>
        <w:spacing w:line="560" w:lineRule="exact"/>
        <w:rPr>
          <w:rFonts w:ascii="仿宋" w:hAnsi="仿宋" w:eastAsia="仿宋"/>
          <w:sz w:val="32"/>
          <w:szCs w:val="32"/>
        </w:rPr>
      </w:pPr>
    </w:p>
    <w:p>
      <w:pPr>
        <w:spacing w:line="560" w:lineRule="exact"/>
        <w:ind w:firstLine="645"/>
        <w:rPr>
          <w:rFonts w:ascii="仿宋" w:hAnsi="仿宋" w:eastAsia="仿宋" w:cs="仿宋_GB2312"/>
          <w:sz w:val="32"/>
          <w:szCs w:val="32"/>
        </w:rPr>
      </w:pPr>
      <w:r>
        <w:rPr>
          <w:rFonts w:hint="eastAsia" w:ascii="仿宋" w:hAnsi="仿宋" w:eastAsia="仿宋" w:cs="仿宋_GB2312"/>
          <w:sz w:val="32"/>
          <w:szCs w:val="32"/>
        </w:rPr>
        <w:t>依据《中华人民共和国政府信息公开条例》第五十条之规定，结合尖扎县公安局2020年政府信息公开工作实绩，制定本报告。</w:t>
      </w:r>
    </w:p>
    <w:p>
      <w:pPr>
        <w:pStyle w:val="7"/>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总体情况</w:t>
      </w:r>
    </w:p>
    <w:p>
      <w:pPr>
        <w:spacing w:line="560" w:lineRule="exact"/>
        <w:ind w:firstLine="645"/>
        <w:rPr>
          <w:rFonts w:ascii="仿宋" w:hAnsi="仿宋" w:eastAsia="仿宋" w:cs="仿宋_GB2312"/>
          <w:sz w:val="32"/>
          <w:szCs w:val="32"/>
        </w:rPr>
      </w:pPr>
      <w:r>
        <w:rPr>
          <w:rFonts w:hint="eastAsia" w:ascii="仿宋" w:hAnsi="仿宋" w:eastAsia="仿宋" w:cs="仿宋_GB2312"/>
          <w:sz w:val="32"/>
          <w:szCs w:val="32"/>
        </w:rPr>
        <w:t>2020年，尖扎县公安局在县委、县政府的坚强领导下，坚持以习近平新时代中国特色社会主义思想为指导，深入贯彻党的十九大和十九届我五中全会精神，坚持以人民为中心的发展思想，认真落实省、州、县政府关于政府信息公开工作的各项部署要求，贯彻执行新修订的《中华人民共和国政府信息公开条例》，进一步优化主动公开内容，完善依法申请公开程序，不断提升力全局政府信息公开工作质量和实效。</w:t>
      </w:r>
    </w:p>
    <w:p>
      <w:pPr>
        <w:numPr>
          <w:ilvl w:val="0"/>
          <w:numId w:val="2"/>
        </w:numPr>
        <w:spacing w:line="560" w:lineRule="exact"/>
        <w:ind w:firstLine="645"/>
        <w:rPr>
          <w:rFonts w:ascii="仿宋" w:hAnsi="仿宋" w:eastAsia="仿宋" w:cs="仿宋_GB2312"/>
          <w:sz w:val="32"/>
          <w:szCs w:val="32"/>
        </w:rPr>
      </w:pPr>
      <w:r>
        <w:rPr>
          <w:rFonts w:hint="eastAsia" w:ascii="仿宋" w:hAnsi="仿宋" w:eastAsia="仿宋" w:cs="仿宋_GB2312"/>
          <w:sz w:val="32"/>
          <w:szCs w:val="32"/>
        </w:rPr>
        <w:t>加强条例学习，掌握相关规定制度。、国务院对《中华人民共和国政府信息公开条例》进行修订后，县公安局及时组织相关业务人员进行集中学习，认真研究解读新修订《条例》，进一步明确了信息公开范围、目录编排体系、获取方式、工作机构等详细内容，确保《条例》相关要求落地落实。</w:t>
      </w:r>
    </w:p>
    <w:p>
      <w:pPr>
        <w:numPr>
          <w:ilvl w:val="0"/>
          <w:numId w:val="2"/>
        </w:numPr>
        <w:spacing w:line="560" w:lineRule="exact"/>
        <w:ind w:firstLine="645"/>
        <w:rPr>
          <w:rFonts w:ascii="仿宋" w:hAnsi="仿宋" w:eastAsia="仿宋" w:cs="仿宋_GB2312"/>
          <w:sz w:val="32"/>
          <w:szCs w:val="32"/>
        </w:rPr>
      </w:pPr>
      <w:r>
        <w:rPr>
          <w:rFonts w:hint="eastAsia" w:ascii="仿宋" w:hAnsi="仿宋" w:eastAsia="仿宋" w:cs="仿宋_GB2312"/>
          <w:sz w:val="32"/>
          <w:szCs w:val="32"/>
        </w:rPr>
        <w:t>强化主动公开，及时公布相关信息。县公安局围绕政府信息公开工作要点，将公开透明作为依法行政的基本要求，主动公开各类信息。2020年，县公安局依托“尖扎县公安局”、“尖扎掌上户政”等微信公众号发布各类警务新闻、警情通报、辟谣信息、公示公告、政策法规等工作信息522余条，累计访问量达19万余次。</w:t>
      </w:r>
    </w:p>
    <w:p>
      <w:pPr>
        <w:numPr>
          <w:ilvl w:val="0"/>
          <w:numId w:val="2"/>
        </w:numPr>
        <w:spacing w:line="560" w:lineRule="exact"/>
        <w:ind w:firstLine="645"/>
        <w:rPr>
          <w:rFonts w:ascii="仿宋" w:hAnsi="仿宋" w:eastAsia="仿宋" w:cs="仿宋_GB2312"/>
          <w:sz w:val="32"/>
          <w:szCs w:val="32"/>
        </w:rPr>
      </w:pPr>
      <w:r>
        <w:rPr>
          <w:rFonts w:hint="eastAsia" w:ascii="仿宋" w:hAnsi="仿宋" w:eastAsia="仿宋" w:cs="仿宋_GB2312"/>
          <w:sz w:val="32"/>
          <w:szCs w:val="32"/>
        </w:rPr>
        <w:t>回应社会关切、及时解疑释惑。围绕社会关切和群众关注热点，及时将法律法规修订、政策制度变化、业务办理流程登内容公布出去，同时在微信公众号接受业务咨询和预约服务，及时为群众解疑答惑，方便群众办理各项业务。</w:t>
      </w:r>
    </w:p>
    <w:p>
      <w:pPr>
        <w:widowControl/>
        <w:spacing w:after="240" w:line="432" w:lineRule="atLeast"/>
        <w:ind w:firstLine="480"/>
        <w:rPr>
          <w:rFonts w:ascii="宋体" w:hAnsi="宋体" w:cs="宋体"/>
          <w:color w:val="333333"/>
          <w:kern w:val="0"/>
          <w:sz w:val="24"/>
          <w:szCs w:val="24"/>
        </w:rPr>
      </w:pPr>
      <w:r>
        <w:rPr>
          <w:rFonts w:hint="eastAsia" w:ascii="黑体" w:hAnsi="黑体" w:eastAsia="黑体" w:cs="黑体"/>
          <w:color w:val="333333"/>
          <w:kern w:val="0"/>
          <w:sz w:val="32"/>
          <w:szCs w:val="32"/>
        </w:rPr>
        <w:t>二、主动公开政府信息情况</w:t>
      </w:r>
    </w:p>
    <w:tbl>
      <w:tblPr>
        <w:tblStyle w:val="4"/>
        <w:tblW w:w="8140" w:type="dxa"/>
        <w:jc w:val="center"/>
        <w:tblLayout w:type="fixed"/>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宋体" w:hAnsi="宋体" w:cs="宋体"/>
                <w:kern w:val="0"/>
                <w:sz w:val="20"/>
                <w:szCs w:val="20"/>
              </w:rPr>
              <w:t>制作数量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本年新</w:t>
            </w:r>
            <w:r>
              <w:rPr>
                <w:rFonts w:hint="eastAsia" w:ascii="宋体" w:hAnsi="宋体" w:cs="宋体"/>
                <w:color w:val="000000"/>
                <w:kern w:val="0"/>
                <w:sz w:val="20"/>
                <w:szCs w:val="20"/>
              </w:rPr>
              <w:br w:type="textWrapping"/>
            </w:r>
            <w:r>
              <w:rPr>
                <w:rFonts w:ascii="宋体" w:hAnsi="宋体" w:cs="宋体"/>
                <w:kern w:val="0"/>
                <w:sz w:val="20"/>
                <w:szCs w:val="20"/>
              </w:rPr>
              <w:t>公开数量</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规章</w:t>
            </w:r>
          </w:p>
        </w:tc>
        <w:tc>
          <w:tcPr>
            <w:tcW w:w="18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规范性文件</w:t>
            </w:r>
          </w:p>
        </w:tc>
        <w:tc>
          <w:tcPr>
            <w:tcW w:w="18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本年增/减</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行政许可</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19</w:t>
            </w: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eastAsia" w:ascii="宋体" w:hAnsi="宋体" w:cs="宋体" w:eastAsiaTheme="minorEastAsia"/>
                <w:kern w:val="0"/>
                <w:sz w:val="24"/>
                <w:szCs w:val="24"/>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其他对外管理服务事项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本年增/减</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行政处罚</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130</w:t>
            </w: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184</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行政强制</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13</w:t>
            </w:r>
          </w:p>
        </w:tc>
        <w:tc>
          <w:tcPr>
            <w:tcW w:w="12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188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信息内容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上一年项目数量</w:t>
            </w:r>
          </w:p>
        </w:tc>
        <w:tc>
          <w:tcPr>
            <w:tcW w:w="3146" w:type="dxa"/>
            <w:gridSpan w:val="2"/>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行政事业性收费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3146"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ascii="宋体" w:hAnsi="宋体" w:cs="宋体"/>
                <w:kern w:val="0"/>
                <w:sz w:val="24"/>
                <w:szCs w:val="24"/>
              </w:rPr>
            </w:pPr>
            <w:bookmarkStart w:id="0" w:name="_GoBack"/>
            <w:bookmarkEnd w:id="0"/>
            <w:r>
              <w:rPr>
                <w:rFonts w:hint="eastAsia" w:ascii="宋体" w:hAnsi="宋体" w:cs="宋体"/>
                <w:color w:val="000000"/>
                <w:kern w:val="0"/>
                <w:sz w:val="20"/>
                <w:szCs w:val="20"/>
              </w:rPr>
              <w:t>0 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信息内容</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采购项目数量</w:t>
            </w:r>
          </w:p>
        </w:tc>
        <w:tc>
          <w:tcPr>
            <w:tcW w:w="3146" w:type="dxa"/>
            <w:gridSpan w:val="2"/>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政府集中采购</w:t>
            </w:r>
          </w:p>
        </w:tc>
        <w:tc>
          <w:tcPr>
            <w:tcW w:w="18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color w:val="000000"/>
                <w:kern w:val="0"/>
                <w:sz w:val="20"/>
                <w:szCs w:val="20"/>
              </w:rPr>
              <w:t>　0</w:t>
            </w:r>
          </w:p>
        </w:tc>
        <w:tc>
          <w:tcPr>
            <w:tcW w:w="3146"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kern w:val="0"/>
                <w:sz w:val="24"/>
                <w:szCs w:val="24"/>
              </w:rPr>
              <w:t>0</w:t>
            </w:r>
          </w:p>
        </w:tc>
      </w:tr>
    </w:tbl>
    <w:p>
      <w:pPr>
        <w:widowControl/>
        <w:spacing w:after="240" w:line="432" w:lineRule="atLeast"/>
        <w:ind w:firstLine="480"/>
        <w:rPr>
          <w:rFonts w:ascii="宋体" w:hAnsi="宋体" w:cs="宋体"/>
          <w:color w:val="333333"/>
          <w:kern w:val="0"/>
          <w:sz w:val="24"/>
          <w:szCs w:val="24"/>
        </w:rPr>
      </w:pPr>
      <w:r>
        <w:rPr>
          <w:rFonts w:hint="eastAsia" w:ascii="黑体" w:hAnsi="黑体" w:eastAsia="黑体" w:cs="黑体"/>
          <w:color w:val="333333"/>
          <w:kern w:val="0"/>
          <w:sz w:val="32"/>
          <w:szCs w:val="32"/>
        </w:rPr>
        <w:t>三、收到和处理政府信息公开申请情况</w:t>
      </w:r>
    </w:p>
    <w:tbl>
      <w:tblPr>
        <w:tblStyle w:val="4"/>
        <w:tblW w:w="8123" w:type="dxa"/>
        <w:jc w:val="center"/>
        <w:tblLayout w:type="fixed"/>
        <w:tblCellMar>
          <w:top w:w="0" w:type="dxa"/>
          <w:left w:w="0" w:type="dxa"/>
          <w:bottom w:w="0" w:type="dxa"/>
          <w:right w:w="0" w:type="dxa"/>
        </w:tblCellMar>
      </w:tblPr>
      <w:tblGrid>
        <w:gridCol w:w="616"/>
        <w:gridCol w:w="816"/>
        <w:gridCol w:w="1823"/>
        <w:gridCol w:w="717"/>
        <w:gridCol w:w="667"/>
        <w:gridCol w:w="667"/>
        <w:gridCol w:w="717"/>
        <w:gridCol w:w="855"/>
        <w:gridCol w:w="629"/>
        <w:gridCol w:w="616"/>
      </w:tblGrid>
      <w:tr>
        <w:tblPrEx>
          <w:tblCellMar>
            <w:top w:w="0" w:type="dxa"/>
            <w:left w:w="0" w:type="dxa"/>
            <w:bottom w:w="0" w:type="dxa"/>
            <w:right w:w="0" w:type="dxa"/>
          </w:tblCellMar>
        </w:tblPrEx>
        <w:trPr>
          <w:trHeight w:val="307" w:hRule="atLeast"/>
          <w:jc w:val="center"/>
        </w:trPr>
        <w:tc>
          <w:tcPr>
            <w:tcW w:w="3255"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（本列数据的勾稽关系为：第一项加第二项之和，等于第三项加第四项之和）</w:t>
            </w:r>
          </w:p>
        </w:tc>
        <w:tc>
          <w:tcPr>
            <w:tcW w:w="4868"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申请人情况</w:t>
            </w:r>
          </w:p>
        </w:tc>
      </w:tr>
      <w:tr>
        <w:tblPrEx>
          <w:tblCellMar>
            <w:top w:w="0" w:type="dxa"/>
            <w:left w:w="0" w:type="dxa"/>
            <w:bottom w:w="0" w:type="dxa"/>
            <w:right w:w="0" w:type="dxa"/>
          </w:tblCellMar>
        </w:tblPrEx>
        <w:trPr>
          <w:trHeight w:val="142" w:hRule="atLeast"/>
          <w:jc w:val="center"/>
        </w:trPr>
        <w:tc>
          <w:tcPr>
            <w:tcW w:w="3255"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71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自然人</w:t>
            </w:r>
          </w:p>
        </w:tc>
        <w:tc>
          <w:tcPr>
            <w:tcW w:w="3535"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法人或其他组织</w:t>
            </w:r>
          </w:p>
        </w:tc>
        <w:tc>
          <w:tcPr>
            <w:tcW w:w="616"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总计</w:t>
            </w:r>
          </w:p>
        </w:tc>
      </w:tr>
      <w:tr>
        <w:tblPrEx>
          <w:tblCellMar>
            <w:top w:w="0" w:type="dxa"/>
            <w:left w:w="0" w:type="dxa"/>
            <w:bottom w:w="0" w:type="dxa"/>
            <w:right w:w="0" w:type="dxa"/>
          </w:tblCellMar>
        </w:tblPrEx>
        <w:trPr>
          <w:trHeight w:val="142" w:hRule="atLeast"/>
          <w:jc w:val="center"/>
        </w:trPr>
        <w:tc>
          <w:tcPr>
            <w:tcW w:w="3255"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717"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商业企业</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科研机构</w:t>
            </w:r>
          </w:p>
        </w:tc>
        <w:tc>
          <w:tcPr>
            <w:tcW w:w="71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社会公益组织</w:t>
            </w:r>
          </w:p>
        </w:tc>
        <w:tc>
          <w:tcPr>
            <w:tcW w:w="8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法律服务机构</w:t>
            </w:r>
          </w:p>
        </w:tc>
        <w:tc>
          <w:tcPr>
            <w:tcW w:w="6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其他</w:t>
            </w:r>
          </w:p>
        </w:tc>
        <w:tc>
          <w:tcPr>
            <w:tcW w:w="616"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kern w:val="0"/>
                <w:sz w:val="24"/>
                <w:szCs w:val="24"/>
              </w:rPr>
            </w:pPr>
          </w:p>
        </w:tc>
      </w:tr>
      <w:tr>
        <w:tblPrEx>
          <w:tblCellMar>
            <w:top w:w="0" w:type="dxa"/>
            <w:left w:w="0" w:type="dxa"/>
            <w:bottom w:w="0" w:type="dxa"/>
            <w:right w:w="0" w:type="dxa"/>
          </w:tblCellMar>
        </w:tblPrEx>
        <w:trPr>
          <w:trHeight w:val="307" w:hRule="atLeast"/>
          <w:jc w:val="center"/>
        </w:trPr>
        <w:tc>
          <w:tcPr>
            <w:tcW w:w="3255"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kern w:val="0"/>
                <w:sz w:val="20"/>
                <w:szCs w:val="20"/>
              </w:rPr>
              <w:t>一、本年新收政府信息公开申请数量</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297" w:hRule="atLeast"/>
          <w:jc w:val="center"/>
        </w:trPr>
        <w:tc>
          <w:tcPr>
            <w:tcW w:w="3255"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kern w:val="0"/>
                <w:sz w:val="20"/>
                <w:szCs w:val="20"/>
              </w:rPr>
              <w:t>二、上年结转政府信息公开申请数量</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307" w:hRule="atLeast"/>
          <w:jc w:val="center"/>
        </w:trPr>
        <w:tc>
          <w:tcPr>
            <w:tcW w:w="616"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三、本年度办理结果</w:t>
            </w:r>
          </w:p>
        </w:tc>
        <w:tc>
          <w:tcPr>
            <w:tcW w:w="26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（一）予以公开</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26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（二）部分公开（区分处理的，只计这一情形，不计其他情形）</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（三）不予公开</w:t>
            </w: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1.属于国家秘密</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2.其他法律行政法规禁止公开</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3.危及“三安全一稳定”</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4.保护第三方合法权益</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5.属于三类内部事务信息</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6.属于四类过程性信息</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7.属于行政执法案卷</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8.属于行政查询事项</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（四）无法提供</w:t>
            </w: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1.本机关不掌握相关政府信息</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2.没有现成信息需要另行制作</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3.补正后申请内容仍不明确</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（五）不予处理</w:t>
            </w: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1.信访举报投诉类申请</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2.重复申请</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3.要求提供公开出版物</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4.无正当理由大量反复申请</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816"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182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5.要求行政机关确认或重新出具已获取信息</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26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（六）其他处理</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2639"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楷体" w:hAnsi="楷体" w:eastAsia="楷体" w:cs="宋体"/>
                <w:kern w:val="0"/>
                <w:sz w:val="20"/>
                <w:szCs w:val="20"/>
              </w:rPr>
              <w:t>（七）总计</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r>
      <w:tr>
        <w:tblPrEx>
          <w:tblCellMar>
            <w:top w:w="0" w:type="dxa"/>
            <w:left w:w="0" w:type="dxa"/>
            <w:bottom w:w="0" w:type="dxa"/>
            <w:right w:w="0" w:type="dxa"/>
          </w:tblCellMar>
        </w:tblPrEx>
        <w:trPr>
          <w:trHeight w:val="307" w:hRule="atLeast"/>
          <w:jc w:val="center"/>
        </w:trPr>
        <w:tc>
          <w:tcPr>
            <w:tcW w:w="3255"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kern w:val="0"/>
                <w:sz w:val="20"/>
                <w:szCs w:val="20"/>
              </w:rPr>
              <w:t>四、结转下年度继续办理</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6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7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8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2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p>
        </w:tc>
        <w:tc>
          <w:tcPr>
            <w:tcW w:w="6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p>
        </w:tc>
      </w:tr>
    </w:tbl>
    <w:p>
      <w:pPr>
        <w:widowControl/>
        <w:spacing w:line="432" w:lineRule="atLeast"/>
        <w:ind w:firstLine="480"/>
        <w:rPr>
          <w:rFonts w:ascii="宋体" w:hAnsi="宋体" w:cs="宋体"/>
          <w:color w:val="333333"/>
          <w:kern w:val="0"/>
          <w:sz w:val="24"/>
          <w:szCs w:val="24"/>
        </w:rPr>
      </w:pPr>
    </w:p>
    <w:p>
      <w:pPr>
        <w:widowControl/>
        <w:spacing w:line="432" w:lineRule="atLeast"/>
        <w:ind w:firstLine="480"/>
        <w:rPr>
          <w:rFonts w:ascii="宋体" w:hAnsi="宋体" w:cs="宋体"/>
          <w:color w:val="333333"/>
          <w:kern w:val="0"/>
          <w:sz w:val="24"/>
          <w:szCs w:val="24"/>
        </w:rPr>
      </w:pPr>
      <w:r>
        <w:rPr>
          <w:rFonts w:hint="eastAsia" w:ascii="黑体" w:hAnsi="黑体" w:eastAsia="黑体" w:cs="黑体"/>
          <w:color w:val="333333"/>
          <w:kern w:val="0"/>
          <w:sz w:val="32"/>
          <w:szCs w:val="32"/>
        </w:rPr>
        <w:t>四、政府信息公开行政复议、行政诉讼情况</w:t>
      </w:r>
    </w:p>
    <w:p>
      <w:pPr>
        <w:widowControl/>
        <w:spacing w:line="432" w:lineRule="atLeast"/>
        <w:ind w:firstLine="480"/>
        <w:rPr>
          <w:rFonts w:ascii="宋体" w:hAnsi="宋体" w:cs="宋体"/>
          <w:color w:val="333333"/>
          <w:kern w:val="0"/>
          <w:sz w:val="24"/>
          <w:szCs w:val="24"/>
        </w:rPr>
      </w:pPr>
    </w:p>
    <w:tbl>
      <w:tblPr>
        <w:tblStyle w:val="4"/>
        <w:tblW w:w="7743" w:type="dxa"/>
        <w:jc w:val="center"/>
        <w:tblLayout w:type="fixed"/>
        <w:tblCellMar>
          <w:top w:w="0" w:type="dxa"/>
          <w:left w:w="0" w:type="dxa"/>
          <w:bottom w:w="0" w:type="dxa"/>
          <w:right w:w="0" w:type="dxa"/>
        </w:tblCellMar>
      </w:tblPr>
      <w:tblGrid>
        <w:gridCol w:w="515"/>
        <w:gridCol w:w="515"/>
        <w:gridCol w:w="515"/>
        <w:gridCol w:w="515"/>
        <w:gridCol w:w="564"/>
        <w:gridCol w:w="469"/>
        <w:gridCol w:w="516"/>
        <w:gridCol w:w="516"/>
        <w:gridCol w:w="516"/>
        <w:gridCol w:w="519"/>
        <w:gridCol w:w="516"/>
        <w:gridCol w:w="516"/>
        <w:gridCol w:w="516"/>
        <w:gridCol w:w="517"/>
        <w:gridCol w:w="518"/>
      </w:tblGrid>
      <w:tr>
        <w:tblPrEx>
          <w:tblCellMar>
            <w:top w:w="0" w:type="dxa"/>
            <w:left w:w="0" w:type="dxa"/>
            <w:bottom w:w="0" w:type="dxa"/>
            <w:right w:w="0" w:type="dxa"/>
          </w:tblCellMar>
        </w:tblPrEx>
        <w:trPr>
          <w:trHeight w:val="273" w:hRule="atLeast"/>
          <w:jc w:val="center"/>
        </w:trPr>
        <w:tc>
          <w:tcPr>
            <w:tcW w:w="262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行政复议</w:t>
            </w:r>
          </w:p>
        </w:tc>
        <w:tc>
          <w:tcPr>
            <w:tcW w:w="5119"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行政诉讼</w:t>
            </w:r>
          </w:p>
        </w:tc>
      </w:tr>
      <w:tr>
        <w:tblPrEx>
          <w:tblCellMar>
            <w:top w:w="0" w:type="dxa"/>
            <w:left w:w="0" w:type="dxa"/>
            <w:bottom w:w="0" w:type="dxa"/>
            <w:right w:w="0" w:type="dxa"/>
          </w:tblCellMar>
        </w:tblPrEx>
        <w:trPr>
          <w:trHeight w:val="283" w:hRule="atLeast"/>
          <w:jc w:val="center"/>
        </w:trPr>
        <w:tc>
          <w:tcPr>
            <w:tcW w:w="51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结果维持</w:t>
            </w:r>
          </w:p>
        </w:tc>
        <w:tc>
          <w:tcPr>
            <w:tcW w:w="51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结果纠正</w:t>
            </w:r>
          </w:p>
        </w:tc>
        <w:tc>
          <w:tcPr>
            <w:tcW w:w="515"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其他结果</w:t>
            </w:r>
          </w:p>
        </w:tc>
        <w:tc>
          <w:tcPr>
            <w:tcW w:w="515"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尚未审结</w:t>
            </w:r>
          </w:p>
        </w:tc>
        <w:tc>
          <w:tcPr>
            <w:tcW w:w="56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总计</w:t>
            </w:r>
          </w:p>
        </w:tc>
        <w:tc>
          <w:tcPr>
            <w:tcW w:w="2536"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未经复议直接起诉</w:t>
            </w:r>
          </w:p>
        </w:tc>
        <w:tc>
          <w:tcPr>
            <w:tcW w:w="2583"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复议后起诉</w:t>
            </w:r>
          </w:p>
        </w:tc>
      </w:tr>
      <w:tr>
        <w:tblPrEx>
          <w:tblCellMar>
            <w:top w:w="0" w:type="dxa"/>
            <w:left w:w="0" w:type="dxa"/>
            <w:bottom w:w="0" w:type="dxa"/>
            <w:right w:w="0" w:type="dxa"/>
          </w:tblCellMar>
        </w:tblPrEx>
        <w:trPr>
          <w:trHeight w:val="130" w:hRule="atLeast"/>
          <w:jc w:val="center"/>
        </w:trPr>
        <w:tc>
          <w:tcPr>
            <w:tcW w:w="515" w:type="dxa"/>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kern w:val="0"/>
                <w:sz w:val="24"/>
                <w:szCs w:val="24"/>
              </w:rPr>
            </w:pPr>
          </w:p>
        </w:tc>
        <w:tc>
          <w:tcPr>
            <w:tcW w:w="515" w:type="dxa"/>
            <w:vMerge w:val="continue"/>
            <w:tcBorders>
              <w:top w:val="nil"/>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515"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515"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564"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kern w:val="0"/>
                <w:sz w:val="24"/>
                <w:szCs w:val="24"/>
              </w:rPr>
            </w:pPr>
          </w:p>
        </w:tc>
        <w:tc>
          <w:tcPr>
            <w:tcW w:w="46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结果维持</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结果纠正</w:t>
            </w:r>
          </w:p>
        </w:tc>
        <w:tc>
          <w:tcPr>
            <w:tcW w:w="5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其他结果</w:t>
            </w:r>
          </w:p>
        </w:tc>
        <w:tc>
          <w:tcPr>
            <w:tcW w:w="5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尚未审结</w:t>
            </w:r>
          </w:p>
        </w:tc>
        <w:tc>
          <w:tcPr>
            <w:tcW w:w="5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总计</w:t>
            </w:r>
          </w:p>
        </w:tc>
        <w:tc>
          <w:tcPr>
            <w:tcW w:w="5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结果维持</w:t>
            </w:r>
          </w:p>
        </w:tc>
        <w:tc>
          <w:tcPr>
            <w:tcW w:w="5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结果纠正</w:t>
            </w:r>
          </w:p>
        </w:tc>
        <w:tc>
          <w:tcPr>
            <w:tcW w:w="5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其他结果</w:t>
            </w:r>
          </w:p>
        </w:tc>
        <w:tc>
          <w:tcPr>
            <w:tcW w:w="51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尚未审结</w:t>
            </w:r>
          </w:p>
        </w:tc>
        <w:tc>
          <w:tcPr>
            <w:tcW w:w="5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总计</w:t>
            </w:r>
          </w:p>
        </w:tc>
      </w:tr>
      <w:tr>
        <w:tblPrEx>
          <w:tblCellMar>
            <w:top w:w="0" w:type="dxa"/>
            <w:left w:w="0" w:type="dxa"/>
            <w:bottom w:w="0" w:type="dxa"/>
            <w:right w:w="0" w:type="dxa"/>
          </w:tblCellMar>
        </w:tblPrEx>
        <w:trPr>
          <w:trHeight w:val="283" w:hRule="atLeast"/>
          <w:jc w:val="center"/>
        </w:trPr>
        <w:tc>
          <w:tcPr>
            <w:tcW w:w="5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51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cs="Calibri"/>
                <w:kern w:val="0"/>
                <w:sz w:val="20"/>
                <w:szCs w:val="20"/>
              </w:rPr>
              <w:t>0</w:t>
            </w:r>
            <w:r>
              <w:rPr>
                <w:rFonts w:cs="Calibri"/>
                <w:kern w:val="0"/>
                <w:sz w:val="20"/>
                <w:szCs w:val="20"/>
              </w:rPr>
              <w:t> </w:t>
            </w:r>
          </w:p>
        </w:tc>
        <w:tc>
          <w:tcPr>
            <w:tcW w:w="51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cs="Calibri"/>
                <w:kern w:val="0"/>
                <w:sz w:val="20"/>
                <w:szCs w:val="20"/>
              </w:rPr>
              <w:t> </w:t>
            </w:r>
            <w:r>
              <w:rPr>
                <w:rFonts w:hint="eastAsia" w:cs="Calibri"/>
                <w:kern w:val="0"/>
                <w:sz w:val="20"/>
                <w:szCs w:val="20"/>
              </w:rPr>
              <w:t>0</w:t>
            </w:r>
          </w:p>
        </w:tc>
        <w:tc>
          <w:tcPr>
            <w:tcW w:w="51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cs="Calibri"/>
                <w:kern w:val="0"/>
                <w:sz w:val="20"/>
                <w:szCs w:val="20"/>
              </w:rPr>
              <w:t>0</w:t>
            </w:r>
            <w:r>
              <w:rPr>
                <w:rFonts w:cs="Calibri"/>
                <w:kern w:val="0"/>
                <w:sz w:val="20"/>
                <w:szCs w:val="20"/>
              </w:rPr>
              <w:t> </w:t>
            </w:r>
          </w:p>
        </w:tc>
        <w:tc>
          <w:tcPr>
            <w:tcW w:w="56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cs="Calibri"/>
                <w:kern w:val="0"/>
                <w:sz w:val="20"/>
                <w:szCs w:val="20"/>
              </w:rPr>
              <w:t>0</w:t>
            </w:r>
            <w:r>
              <w:rPr>
                <w:rFonts w:cs="Calibri"/>
                <w:kern w:val="0"/>
                <w:sz w:val="20"/>
                <w:szCs w:val="20"/>
              </w:rPr>
              <w:t> </w:t>
            </w:r>
          </w:p>
        </w:tc>
        <w:tc>
          <w:tcPr>
            <w:tcW w:w="46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0 </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color w:val="000000"/>
                <w:kern w:val="0"/>
                <w:sz w:val="20"/>
                <w:szCs w:val="20"/>
              </w:rPr>
              <w:t>0 </w:t>
            </w:r>
          </w:p>
        </w:tc>
        <w:tc>
          <w:tcPr>
            <w:tcW w:w="51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kern w:val="0"/>
                <w:sz w:val="24"/>
                <w:szCs w:val="24"/>
              </w:rPr>
            </w:pPr>
            <w:r>
              <w:rPr>
                <w:rFonts w:hint="eastAsia" w:ascii="宋体" w:hAnsi="宋体" w:cs="宋体"/>
                <w:kern w:val="0"/>
                <w:sz w:val="20"/>
                <w:szCs w:val="20"/>
              </w:rPr>
              <w:t>0 </w:t>
            </w:r>
          </w:p>
        </w:tc>
        <w:tc>
          <w:tcPr>
            <w:tcW w:w="51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kern w:val="0"/>
                <w:sz w:val="24"/>
                <w:szCs w:val="24"/>
              </w:rPr>
            </w:pPr>
            <w:r>
              <w:rPr>
                <w:rFonts w:hint="eastAsia" w:ascii="宋体" w:hAnsi="宋体" w:cs="宋体"/>
                <w:kern w:val="0"/>
                <w:sz w:val="24"/>
                <w:szCs w:val="24"/>
              </w:rPr>
              <w:t>0</w:t>
            </w:r>
          </w:p>
        </w:tc>
      </w:tr>
    </w:tbl>
    <w:p>
      <w:pPr>
        <w:spacing w:line="560" w:lineRule="exact"/>
        <w:ind w:firstLine="645"/>
        <w:rPr>
          <w:rFonts w:ascii="仿宋" w:hAnsi="仿宋" w:eastAsia="仿宋"/>
          <w:sz w:val="32"/>
          <w:szCs w:val="32"/>
        </w:rPr>
      </w:pPr>
    </w:p>
    <w:p>
      <w:pPr>
        <w:pStyle w:val="7"/>
        <w:spacing w:line="560" w:lineRule="exact"/>
        <w:ind w:left="420" w:leftChars="200" w:firstLine="0" w:firstLineChars="0"/>
        <w:rPr>
          <w:rFonts w:ascii="黑体" w:hAnsi="黑体" w:eastAsia="黑体"/>
          <w:sz w:val="32"/>
          <w:szCs w:val="32"/>
        </w:rPr>
      </w:pPr>
      <w:r>
        <w:rPr>
          <w:rFonts w:hint="eastAsia" w:ascii="黑体" w:hAnsi="黑体" w:eastAsia="黑体"/>
          <w:sz w:val="32"/>
          <w:szCs w:val="32"/>
        </w:rPr>
        <w:t>五、存在的主要问题及改进情况</w:t>
      </w:r>
    </w:p>
    <w:p>
      <w:pPr>
        <w:pStyle w:val="7"/>
        <w:spacing w:line="560" w:lineRule="exact"/>
        <w:ind w:left="420" w:leftChars="200" w:firstLine="640" w:firstLineChars="0"/>
        <w:rPr>
          <w:rFonts w:ascii="仿宋" w:hAnsi="仿宋" w:eastAsia="仿宋" w:cs="仿宋_GB2312"/>
          <w:sz w:val="32"/>
          <w:szCs w:val="32"/>
        </w:rPr>
      </w:pPr>
      <w:r>
        <w:rPr>
          <w:rFonts w:hint="eastAsia" w:ascii="仿宋" w:hAnsi="仿宋" w:eastAsia="仿宋" w:cs="仿宋_GB2312"/>
          <w:sz w:val="32"/>
          <w:szCs w:val="32"/>
        </w:rPr>
        <w:t>一是政府信息公开领域的深度与广度与公众的期待和需求仍然有一定的差距。今后我局将继续加大政府信息公开力度，紧紧围绕省、州、县政府和上级公安机关决策部署，认真实施《中华人民共和国政府信息公开条例》，努力回应群众期待和需求，提高工作透明度。</w:t>
      </w:r>
    </w:p>
    <w:p>
      <w:pPr>
        <w:pStyle w:val="7"/>
        <w:spacing w:line="560" w:lineRule="exact"/>
        <w:ind w:left="420" w:leftChars="200" w:firstLine="640" w:firstLineChars="0"/>
        <w:rPr>
          <w:rFonts w:ascii="仿宋" w:hAnsi="仿宋" w:eastAsia="仿宋" w:cs="仿宋_GB2312"/>
          <w:sz w:val="32"/>
          <w:szCs w:val="32"/>
        </w:rPr>
      </w:pPr>
      <w:r>
        <w:rPr>
          <w:rFonts w:hint="eastAsia" w:ascii="仿宋" w:hAnsi="仿宋" w:eastAsia="仿宋" w:cs="仿宋_GB2312"/>
          <w:sz w:val="32"/>
          <w:szCs w:val="32"/>
        </w:rPr>
        <w:t>二是对专业性较强的政策解读还需要进一步形象化、通俗化。今后我局将进一步做好深度、精度解读，及时将“政策语言”转化为“群众语言”，不断增强解读工作的亲和力、引导力、传播力和影响力。</w:t>
      </w:r>
    </w:p>
    <w:p>
      <w:pPr>
        <w:pStyle w:val="7"/>
        <w:spacing w:line="560" w:lineRule="exact"/>
        <w:ind w:left="420" w:leftChars="200" w:firstLine="640" w:firstLineChars="0"/>
        <w:rPr>
          <w:rFonts w:ascii="仿宋" w:hAnsi="仿宋" w:eastAsia="仿宋" w:cs="仿宋_GB2312"/>
          <w:sz w:val="32"/>
          <w:szCs w:val="32"/>
        </w:rPr>
      </w:pPr>
      <w:r>
        <w:rPr>
          <w:rFonts w:hint="eastAsia" w:ascii="仿宋" w:hAnsi="仿宋" w:eastAsia="仿宋" w:cs="仿宋_GB2312"/>
          <w:sz w:val="32"/>
          <w:szCs w:val="32"/>
        </w:rPr>
        <w:t>三是对政府信息公开工作的宣传有待加强，今后我局将进一步加强信息公开宣传力度，提高我局微信公众号等信息平台知晓率，增强广大群众积极参与和监督政府信息公开的意识，努力营造推新政府信息公开、加强软环境建设的良好社会氛围。</w:t>
      </w:r>
    </w:p>
    <w:p>
      <w:pPr>
        <w:pStyle w:val="7"/>
        <w:spacing w:line="560" w:lineRule="exact"/>
        <w:ind w:left="420" w:leftChars="200" w:firstLine="640"/>
        <w:rPr>
          <w:rFonts w:ascii="黑体" w:hAnsi="黑体" w:eastAsia="黑体"/>
          <w:sz w:val="32"/>
          <w:szCs w:val="32"/>
        </w:rPr>
      </w:pPr>
      <w:r>
        <w:rPr>
          <w:rFonts w:hint="eastAsia" w:ascii="黑体" w:hAnsi="黑体" w:eastAsia="黑体"/>
          <w:sz w:val="32"/>
          <w:szCs w:val="32"/>
        </w:rPr>
        <w:t>六、其他需要报告的事项</w:t>
      </w:r>
    </w:p>
    <w:p>
      <w:pPr>
        <w:pStyle w:val="7"/>
        <w:spacing w:line="560" w:lineRule="exact"/>
        <w:ind w:left="420" w:leftChars="200" w:firstLine="0" w:firstLineChars="0"/>
        <w:rPr>
          <w:rFonts w:ascii="仿宋" w:hAnsi="仿宋" w:eastAsia="仿宋" w:cs="仿宋_GB2312"/>
          <w:sz w:val="32"/>
          <w:szCs w:val="32"/>
        </w:rPr>
      </w:pPr>
      <w:r>
        <w:rPr>
          <w:rFonts w:hint="eastAsia" w:ascii="仿宋" w:hAnsi="仿宋" w:eastAsia="仿宋" w:cs="仿宋_GB2312"/>
          <w:sz w:val="32"/>
          <w:szCs w:val="32"/>
        </w:rPr>
        <w:t xml:space="preserve">      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0592E"/>
    <w:multiLevelType w:val="singleLevel"/>
    <w:tmpl w:val="05A0592E"/>
    <w:lvl w:ilvl="0" w:tentative="0">
      <w:start w:val="1"/>
      <w:numFmt w:val="chineseCounting"/>
      <w:suff w:val="nothing"/>
      <w:lvlText w:val="（%1）"/>
      <w:lvlJc w:val="left"/>
      <w:rPr>
        <w:rFonts w:hint="eastAsia"/>
      </w:rPr>
    </w:lvl>
  </w:abstractNum>
  <w:abstractNum w:abstractNumId="1">
    <w:nsid w:val="7C661ED2"/>
    <w:multiLevelType w:val="multilevel"/>
    <w:tmpl w:val="7C661ED2"/>
    <w:lvl w:ilvl="0" w:tentative="0">
      <w:start w:val="1"/>
      <w:numFmt w:val="japaneseCounting"/>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A4664"/>
    <w:rsid w:val="000A4664"/>
    <w:rsid w:val="000C1D49"/>
    <w:rsid w:val="00264252"/>
    <w:rsid w:val="005A04F0"/>
    <w:rsid w:val="006B3A97"/>
    <w:rsid w:val="00737834"/>
    <w:rsid w:val="008F78F7"/>
    <w:rsid w:val="00964D93"/>
    <w:rsid w:val="00986FEB"/>
    <w:rsid w:val="00A513C3"/>
    <w:rsid w:val="00B704D2"/>
    <w:rsid w:val="00DD2FC3"/>
    <w:rsid w:val="00DF2174"/>
    <w:rsid w:val="00ED1C45"/>
    <w:rsid w:val="00F06983"/>
    <w:rsid w:val="00F64441"/>
    <w:rsid w:val="00FC62F1"/>
    <w:rsid w:val="104C2129"/>
    <w:rsid w:val="317B614E"/>
    <w:rsid w:val="32493B50"/>
    <w:rsid w:val="32B81AF7"/>
    <w:rsid w:val="4B742031"/>
    <w:rsid w:val="78C44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semiHidden/>
    <w:uiPriority w:val="99"/>
    <w:rPr>
      <w:rFonts w:asciiTheme="minorHAnsi" w:hAnsiTheme="minorHAnsi" w:eastAsiaTheme="minorEastAsia" w:cstheme="minorBidi"/>
      <w:kern w:val="2"/>
      <w:sz w:val="18"/>
      <w:szCs w:val="18"/>
    </w:rPr>
  </w:style>
  <w:style w:type="character" w:customStyle="1" w:styleId="9">
    <w:name w:val="页脚 Char"/>
    <w:basedOn w:val="6"/>
    <w:link w:val="2"/>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348</Words>
  <Characters>1987</Characters>
  <Lines>16</Lines>
  <Paragraphs>4</Paragraphs>
  <TotalTime>346</TotalTime>
  <ScaleCrop>false</ScaleCrop>
  <LinksUpToDate>false</LinksUpToDate>
  <CharactersWithSpaces>2331</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2020-02-19T01:38:00Z</dcterms:created>
  <dc:creator>PC</dc:creator>
  <cp:lastModifiedBy>Administrator</cp:lastModifiedBy>
  <dcterms:modified xsi:type="dcterms:W3CDTF">2021-04-28T01:01:52Z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934CB5B0D39A4D0C91440E94995A492C</vt:lpwstr>
  </property>
</Properties>
</file>