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尖交字〔2021〕89号                  签发人：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拉龙当知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jc w:val="center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尖扎县交通运输局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2020年政府信息公开工作年度报告</w:t>
      </w:r>
    </w:p>
    <w:p>
      <w:pPr>
        <w:widowControl/>
        <w:shd w:val="clear" w:color="auto" w:fill="FFFFFF"/>
        <w:ind w:firstLine="440" w:firstLineChars="200"/>
        <w:jc w:val="left"/>
        <w:rPr>
          <w:rFonts w:ascii="宋体" w:hAnsi="宋体" w:eastAsia="宋体" w:cs="宋体"/>
          <w:color w:val="666666"/>
          <w:kern w:val="0"/>
          <w:sz w:val="22"/>
          <w:szCs w:val="22"/>
        </w:rPr>
      </w:pPr>
    </w:p>
    <w:p>
      <w:pPr>
        <w:widowControl/>
        <w:shd w:val="clear" w:color="auto" w:fill="FFFFFF"/>
        <w:ind w:firstLine="640" w:firstLineChars="200"/>
        <w:jc w:val="left"/>
        <w:rPr>
          <w:rFonts w:ascii="仿宋" w:hAnsi="仿宋" w:eastAsia="仿宋"/>
          <w:color w:val="000000"/>
          <w:sz w:val="32"/>
          <w:shd w:val="clear" w:color="auto" w:fill="FFFFFF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本报告依据《中华人民共和国政府信息公开条例》（以下简称《条例》）和《青海省实施〈中华人民共和国政府信息公开条例〉办法》（以下简称《实施办法》）要求编制。报告中所列数据的统计期限自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日起，</w:t>
      </w:r>
      <w:bookmarkStart w:id="0" w:name="_GoBack"/>
      <w:bookmarkEnd w:id="0"/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至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2020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12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月</w:t>
      </w:r>
      <w:r>
        <w:rPr>
          <w:rFonts w:ascii="Times New Roman" w:hAnsi="Times New Roman" w:cs="Times New Roman"/>
          <w:color w:val="000000"/>
          <w:sz w:val="32"/>
          <w:shd w:val="clear" w:color="auto" w:fill="FFFFFF"/>
        </w:rPr>
        <w:t>31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日止。对本报告如有疑问，请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与县交通局办公室联系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（0973-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8732421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）。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一、总体情况</w:t>
      </w:r>
    </w:p>
    <w:p>
      <w:pPr>
        <w:widowControl/>
        <w:shd w:val="clear" w:color="auto" w:fill="FFFFFF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</w:pP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2020年，在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委、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  <w:lang w:val="en-US" w:eastAsia="zh-CN"/>
        </w:rPr>
        <w:t>县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政府的正确领导下，在市政务公开办公室的指导下，交通运输局严格按照《中华人民共和国政府信息公开条例》规定，认真落实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《国务院办公厅关于印发20</w:t>
      </w:r>
      <w:r>
        <w:rPr>
          <w:rFonts w:ascii="仿宋" w:hAnsi="仿宋" w:eastAsia="仿宋"/>
          <w:color w:val="000000"/>
          <w:sz w:val="32"/>
          <w:shd w:val="clear" w:color="auto" w:fill="FFFFFF"/>
        </w:rPr>
        <w:t>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年政务公开工作要点的通知》(国办发〔20</w:t>
      </w:r>
      <w:r>
        <w:rPr>
          <w:rFonts w:ascii="仿宋" w:hAnsi="仿宋" w:eastAsia="仿宋"/>
          <w:color w:val="000000"/>
          <w:sz w:val="32"/>
          <w:shd w:val="clear" w:color="auto" w:fill="FFFFFF"/>
        </w:rPr>
        <w:t>20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〕1</w:t>
      </w:r>
      <w:r>
        <w:rPr>
          <w:rFonts w:ascii="仿宋" w:hAnsi="仿宋" w:eastAsia="仿宋"/>
          <w:color w:val="000000"/>
          <w:sz w:val="32"/>
          <w:shd w:val="clear" w:color="auto" w:fill="FFFFFF"/>
        </w:rPr>
        <w:t>7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号)</w:t>
      </w:r>
      <w:r>
        <w:rPr>
          <w:rFonts w:hint="eastAsia" w:ascii="仿宋_GB2312" w:hAnsi="仿宋_GB2312" w:eastAsia="仿宋_GB2312" w:cs="仿宋_GB2312"/>
          <w:color w:val="000000"/>
          <w:sz w:val="32"/>
          <w:shd w:val="clear" w:color="auto" w:fill="FFFFFF"/>
        </w:rPr>
        <w:t>文件要求，全力打造透明交通、法制交通、服务交通为目标，规范开展交通行业信息公开工作。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二、主动公开政府信息情况</w:t>
      </w:r>
    </w:p>
    <w:tbl>
      <w:tblPr>
        <w:tblStyle w:val="4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27"/>
        <w:gridCol w:w="1108"/>
        <w:gridCol w:w="2039"/>
        <w:gridCol w:w="1038"/>
        <w:gridCol w:w="1203"/>
        <w:gridCol w:w="2391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第二十条第（一）项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本年新制作数量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本年新公开数量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对外公开总数量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规章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 xml:space="preserve"> 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规范性文件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第二十条第（五）项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行政许可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33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其他对外管理服务事项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64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第二十条第（六）项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处理决定数量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行政处罚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226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59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9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行政强制</w:t>
            </w:r>
          </w:p>
        </w:tc>
        <w:tc>
          <w:tcPr>
            <w:tcW w:w="514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default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16</w:t>
            </w:r>
          </w:p>
        </w:tc>
        <w:tc>
          <w:tcPr>
            <w:tcW w:w="366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38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第二十条第（八）项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上一年项目数量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本年增/减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行政事业性收费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16644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2"/>
                <w:szCs w:val="22"/>
              </w:rPr>
              <w:t>第二十条第（九）项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信息内容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采购项目数量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采购总金额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7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</w:rPr>
              <w:t>政府集中采购</w:t>
            </w:r>
          </w:p>
        </w:tc>
        <w:tc>
          <w:tcPr>
            <w:tcW w:w="503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  <w:tc>
          <w:tcPr>
            <w:tcW w:w="587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2"/>
                <w:szCs w:val="22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三、收到和处理政府信息公开申请情况</w:t>
      </w:r>
    </w:p>
    <w:tbl>
      <w:tblPr>
        <w:tblStyle w:val="4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39"/>
        <w:gridCol w:w="923"/>
        <w:gridCol w:w="3440"/>
        <w:gridCol w:w="503"/>
        <w:gridCol w:w="688"/>
        <w:gridCol w:w="1041"/>
        <w:gridCol w:w="923"/>
        <w:gridCol w:w="789"/>
        <w:gridCol w:w="571"/>
        <w:gridCol w:w="789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（本列数据的勾稽关系为：第一项加第二项之和，等于第三项加第四项之和）</w:t>
            </w:r>
          </w:p>
        </w:tc>
        <w:tc>
          <w:tcPr>
            <w:tcW w:w="5304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申请人情况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0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自然人</w:t>
            </w:r>
          </w:p>
        </w:tc>
        <w:tc>
          <w:tcPr>
            <w:tcW w:w="40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法人或其他组织</w:t>
            </w:r>
          </w:p>
        </w:tc>
        <w:tc>
          <w:tcPr>
            <w:tcW w:w="78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03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商业企业</w:t>
            </w: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科研机构</w:t>
            </w: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社会公益组织</w:t>
            </w: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法律服务机构</w:t>
            </w: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其他</w:t>
            </w: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一、本年新收政府信息公开申请数量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二、上年结转政府信息公开申请数量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53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三、本年度办理结果</w:t>
            </w: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（一）予以公开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（二）部分公开（区分处理的，只计这一情形，不计其他情形）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（三）不予公开</w:t>
            </w: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1.属于国家秘密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2.其他法律行政法规禁止公开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3.危及“三安全一稳定”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4.保护第三方合法权益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5.属于三类内部事务信息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6.属于四类过程性信息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7.属于行政执法案卷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inset" w:color="auto" w:sz="8" w:space="0"/>
              <w:left w:val="inset" w:color="auto" w:sz="8" w:space="0"/>
              <w:bottom w:val="inset" w:color="auto" w:sz="8" w:space="0"/>
              <w:right w:val="inset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8.属于行政查询事项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（四）无法提供</w:t>
            </w: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1.本机关不掌握相关政府信息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2.没有现成信息需要另行制作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3.补正后申请内容仍不明确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（五）不予处理</w:t>
            </w: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1.信访举报投诉类申请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2.重复申请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3.要求提供公开出版物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4.无正当理由大量反复申请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34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2"/>
                <w:szCs w:val="22"/>
              </w:rPr>
              <w:t>5.要求行政机关确认或重新出具已获取信息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（六）其他处理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436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kern w:val="0"/>
                <w:sz w:val="22"/>
                <w:szCs w:val="22"/>
              </w:rPr>
              <w:t>（七）总计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490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楷体_GB2312" w:hAnsi="宋体" w:eastAsia="楷体_GB2312" w:cs="宋体"/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 w:ascii="楷体_GB2312" w:hAnsi="Times New Roman" w:eastAsia="楷体_GB2312" w:cs="Times New Roman"/>
                <w:b/>
                <w:bCs/>
                <w:kern w:val="0"/>
                <w:sz w:val="22"/>
                <w:szCs w:val="22"/>
              </w:rPr>
              <w:t>四、结转下年度继续办理</w:t>
            </w:r>
          </w:p>
        </w:tc>
        <w:tc>
          <w:tcPr>
            <w:tcW w:w="50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68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923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  <w:tc>
          <w:tcPr>
            <w:tcW w:w="78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仿宋_GB2312" w:hAnsi="宋体" w:eastAsia="仿宋_GB2312" w:cs="宋体"/>
                <w:kern w:val="0"/>
                <w:sz w:val="22"/>
                <w:szCs w:val="22"/>
              </w:rPr>
            </w:pP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四、政府信息公开行政复议、行政诉讼情况</w:t>
      </w:r>
    </w:p>
    <w:tbl>
      <w:tblPr>
        <w:tblStyle w:val="4"/>
        <w:tblW w:w="10206" w:type="dxa"/>
        <w:jc w:val="center"/>
        <w:tblCellSpacing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77"/>
        <w:gridCol w:w="677"/>
        <w:gridCol w:w="677"/>
        <w:gridCol w:w="677"/>
        <w:gridCol w:w="745"/>
        <w:gridCol w:w="609"/>
        <w:gridCol w:w="677"/>
        <w:gridCol w:w="677"/>
        <w:gridCol w:w="677"/>
        <w:gridCol w:w="711"/>
        <w:gridCol w:w="677"/>
        <w:gridCol w:w="677"/>
        <w:gridCol w:w="677"/>
        <w:gridCol w:w="677"/>
        <w:gridCol w:w="694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3453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行政复议</w:t>
            </w:r>
          </w:p>
        </w:tc>
        <w:tc>
          <w:tcPr>
            <w:tcW w:w="675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行政诉讼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45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3351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未经复议直接起诉</w:t>
            </w:r>
          </w:p>
        </w:tc>
        <w:tc>
          <w:tcPr>
            <w:tcW w:w="340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复议后起诉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left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结果维持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结果纠正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其他结果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尚未审结</w:t>
            </w: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kern w:val="0"/>
                <w:sz w:val="22"/>
                <w:szCs w:val="22"/>
              </w:rPr>
              <w:t>总计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  <w:tblCellSpacing w:w="0" w:type="dxa"/>
          <w:jc w:val="center"/>
        </w:trPr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0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71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7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240" w:lineRule="auto"/>
              <w:jc w:val="center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五、存在的主要问题及改进情况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（一）存在问题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420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2020年，我局政府信息公开工作虽取得了较好的成绩，但也存在着不足之处，主要体现为：一是对政务公开相关概念把握不准，公开的深度和广度仍有待拓展；二是政府信息公开制度还需进一步完善。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（二）改进措施</w:t>
      </w:r>
    </w:p>
    <w:p>
      <w:pPr>
        <w:widowControl/>
        <w:shd w:val="clear" w:color="auto" w:fill="FFFFFF"/>
        <w:ind w:firstLine="643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一是加强组织领导。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充分发挥我局政府信息公开职能作用，根据工作职责，分级抓好职责范围内的信息公开工作，分解细化任务，将重点领域公开的工作内容落到具体部门科室和个人，做到任务明确、责任明确。</w:t>
      </w:r>
    </w:p>
    <w:p>
      <w:pPr>
        <w:widowControl/>
        <w:shd w:val="clear" w:color="auto" w:fill="FFFFFF"/>
        <w:ind w:firstLine="643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二是健全工作机制。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按照“完善机制，明确职责、统一协调，高效便民”的原则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结合交通运输实际，进一步规范信息公开内容、时间、程序、方法，健全和完善工作机制。</w:t>
      </w:r>
    </w:p>
    <w:p>
      <w:pPr>
        <w:widowControl/>
        <w:shd w:val="clear" w:color="auto" w:fill="FFFFFF"/>
        <w:ind w:firstLine="643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三是强化队伍建设力度。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积极参加省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州县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</w:rPr>
        <w:t>组织的政府信息公开相关培训，加强业务知识的学习，全面提升我局政务信息公开的水平、能力和效率。</w:t>
      </w:r>
    </w:p>
    <w:p>
      <w:pPr>
        <w:widowControl/>
        <w:shd w:val="clear" w:color="auto" w:fill="FFFFFF"/>
        <w:ind w:firstLine="640" w:firstLineChars="200"/>
        <w:jc w:val="left"/>
        <w:rPr>
          <w:rFonts w:ascii="黑体" w:hAnsi="黑体" w:eastAsia="黑体" w:cs="宋体"/>
          <w:color w:val="000000"/>
          <w:kern w:val="0"/>
          <w:sz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</w:rPr>
        <w:t>六、其他需要报告的事项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（一）政府热线处理情况</w:t>
      </w:r>
    </w:p>
    <w:p>
      <w:pPr>
        <w:widowControl/>
        <w:shd w:val="clear" w:color="auto" w:fill="FFFFFF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2020年我局答复政府热线相关问题2起。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（二）依申请公开政府信息和不予公开政府信息的情况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420"/>
        <w:rPr>
          <w:rFonts w:hint="default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无。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（三）政府信息公开的收费及减免情况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420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无。</w:t>
      </w:r>
    </w:p>
    <w:p>
      <w:pPr>
        <w:widowControl/>
        <w:shd w:val="clear" w:color="auto" w:fill="FFFFFF"/>
        <w:spacing w:line="561" w:lineRule="atLeast"/>
        <w:ind w:firstLine="480"/>
        <w:jc w:val="left"/>
        <w:rPr>
          <w:rFonts w:ascii="楷体_GB2312" w:hAnsi="宋体" w:eastAsia="楷体_GB2312" w:cs="宋体"/>
          <w:b/>
          <w:bCs/>
          <w:color w:val="000000"/>
          <w:kern w:val="0"/>
          <w:sz w:val="32"/>
        </w:rPr>
      </w:pPr>
      <w:r>
        <w:rPr>
          <w:rFonts w:hint="eastAsia" w:ascii="楷体_GB2312" w:hAnsi="宋体" w:eastAsia="楷体_GB2312" w:cs="宋体"/>
          <w:b/>
          <w:bCs/>
          <w:color w:val="000000"/>
          <w:kern w:val="0"/>
          <w:sz w:val="32"/>
        </w:rPr>
        <w:t>（四）因政府信息公开申请行政复议、提起行政诉讼的情况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25" w:afterAutospacing="0"/>
        <w:ind w:left="0" w:right="0" w:firstLine="420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  <w:t>无。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</w:pPr>
    </w:p>
    <w:p>
      <w:pPr>
        <w:widowControl/>
        <w:shd w:val="clear" w:color="auto" w:fill="FFFFFF"/>
        <w:spacing w:line="560" w:lineRule="exact"/>
        <w:ind w:firstLine="640" w:firstLineChars="200"/>
        <w:jc w:val="right"/>
        <w:rPr>
          <w:rFonts w:hint="eastAsia" w:ascii="仿宋" w:hAnsi="仿宋" w:eastAsia="仿宋"/>
          <w:color w:val="000000"/>
          <w:sz w:val="32"/>
          <w:shd w:val="clear" w:color="auto" w:fill="FFFFFF"/>
          <w:lang w:eastAsia="zh-CN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尖扎县</w:t>
      </w:r>
      <w:r>
        <w:rPr>
          <w:rFonts w:hint="eastAsia" w:ascii="仿宋" w:hAnsi="仿宋" w:eastAsia="仿宋"/>
          <w:color w:val="000000"/>
          <w:sz w:val="32"/>
          <w:shd w:val="clear" w:color="auto" w:fill="FFFFFF"/>
          <w:lang w:val="en-US" w:eastAsia="zh-CN"/>
        </w:rPr>
        <w:t>交通运输局</w:t>
      </w:r>
    </w:p>
    <w:p>
      <w:pPr>
        <w:widowControl/>
        <w:shd w:val="clear" w:color="auto" w:fill="FFFFFF"/>
        <w:spacing w:line="560" w:lineRule="exact"/>
        <w:ind w:firstLine="640" w:firstLineChars="200"/>
        <w:jc w:val="right"/>
        <w:rPr>
          <w:rFonts w:hint="eastAsia"/>
        </w:rPr>
      </w:pP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2</w:t>
      </w:r>
      <w:r>
        <w:rPr>
          <w:rFonts w:ascii="仿宋" w:hAnsi="仿宋" w:eastAsia="仿宋"/>
          <w:color w:val="000000"/>
          <w:sz w:val="32"/>
          <w:shd w:val="clear" w:color="auto" w:fill="FFFFFF"/>
        </w:rPr>
        <w:t>021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年4月2</w:t>
      </w:r>
      <w:r>
        <w:rPr>
          <w:rFonts w:ascii="仿宋" w:hAnsi="仿宋" w:eastAsia="仿宋"/>
          <w:color w:val="000000"/>
          <w:sz w:val="32"/>
          <w:shd w:val="clear" w:color="auto" w:fill="FFFFFF"/>
        </w:rPr>
        <w:t>5</w:t>
      </w:r>
      <w:r>
        <w:rPr>
          <w:rFonts w:hint="eastAsia" w:ascii="仿宋" w:hAnsi="仿宋" w:eastAsia="仿宋"/>
          <w:color w:val="000000"/>
          <w:sz w:val="32"/>
          <w:shd w:val="clear" w:color="auto" w:fill="FFFFFF"/>
        </w:rPr>
        <w:t>日</w:t>
      </w:r>
    </w:p>
    <w:p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25" w:afterAutospacing="0" w:line="560" w:lineRule="exact"/>
        <w:ind w:left="0" w:right="0" w:firstLine="42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D3D3D"/>
          <w:spacing w:val="0"/>
          <w:sz w:val="32"/>
          <w:szCs w:val="32"/>
          <w:shd w:val="clear" w:fill="FFFFFF"/>
          <w:lang w:val="en-US" w:eastAsia="zh-CN"/>
        </w:rPr>
      </w:pPr>
    </w:p>
    <w:sectPr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5C709C"/>
    <w:rsid w:val="1A277E1E"/>
    <w:rsid w:val="28CE5DC6"/>
    <w:rsid w:val="3A5C709C"/>
    <w:rsid w:val="3E201157"/>
    <w:rsid w:val="45EB7B1A"/>
    <w:rsid w:val="4DFA4E3E"/>
    <w:rsid w:val="54AE5389"/>
    <w:rsid w:val="5FF638FB"/>
    <w:rsid w:val="6A4326E1"/>
    <w:rsid w:val="74742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76" w:lineRule="exact"/>
      <w:jc w:val="both"/>
    </w:pPr>
    <w:rPr>
      <w:rFonts w:asciiTheme="minorHAnsi" w:hAnsiTheme="minorHAnsi" w:eastAsiaTheme="minorEastAsia" w:cstheme="minorBidi"/>
      <w:kern w:val="2"/>
      <w:sz w:val="21"/>
      <w:szCs w:val="32"/>
      <w:lang w:val="en-US" w:eastAsia="zh-CN" w:bidi="bo-CN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2021-04-25T00:55:00Z</dcterms:created>
  <dc:creator>lenovo</dc:creator>
  <cp:lastModifiedBy>Administrator</cp:lastModifiedBy>
  <cp:lastPrinted>2021-04-27T02:28:00Z</cp:lastPrinted>
  <dcterms:modified xsi:type="dcterms:W3CDTF">2021-04-27T03:39:58Z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CE1773917B4A45A5BC027BA54AD4E7F3</vt:lpwstr>
  </property>
</Properties>
</file>