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left"/>
        <w:rPr>
          <w:rFonts w:ascii="黑体" w:hAnsi="黑体" w:eastAsia="黑体" w:cs="宋体"/>
          <w:color w:val="000000" w:themeColor="text1"/>
          <w:kern w:val="0"/>
          <w:sz w:val="32"/>
        </w:rPr>
      </w:pPr>
      <w:r>
        <w:rPr>
          <w:rFonts w:hint="eastAsia" w:ascii="黑体" w:hAnsi="黑体" w:eastAsia="黑体" w:cs="宋体"/>
          <w:color w:val="000000" w:themeColor="text1"/>
          <w:kern w:val="0"/>
          <w:sz w:val="32"/>
        </w:rPr>
        <w:t>附件：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ascii="方正小标宋_GBK" w:hAnsi="微软雅黑" w:eastAsia="方正小标宋_GBK" w:cs="宋体"/>
          <w:color w:val="000000" w:themeColor="text1"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微软雅黑" w:eastAsia="方正小标宋_GBK" w:cs="宋体"/>
          <w:color w:val="000000" w:themeColor="text1"/>
          <w:kern w:val="0"/>
          <w:sz w:val="44"/>
          <w:szCs w:val="44"/>
          <w:lang w:eastAsia="zh-CN"/>
        </w:rPr>
      </w:pPr>
      <w:r>
        <w:rPr>
          <w:rFonts w:hint="eastAsia" w:ascii="方正小标宋_GBK" w:hAnsi="微软雅黑" w:eastAsia="方正小标宋_GBK" w:cs="宋体"/>
          <w:color w:val="000000" w:themeColor="text1"/>
          <w:kern w:val="0"/>
          <w:sz w:val="44"/>
          <w:szCs w:val="44"/>
          <w:lang w:eastAsia="zh-CN"/>
        </w:rPr>
        <w:t>尖扎县工业商务和信息化局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ascii="方正小标宋_GBK" w:hAnsi="微软雅黑" w:eastAsia="方正小标宋_GBK" w:cs="宋体"/>
          <w:color w:val="000000" w:themeColor="text1"/>
          <w:kern w:val="0"/>
          <w:sz w:val="44"/>
          <w:szCs w:val="44"/>
        </w:rPr>
      </w:pPr>
      <w:r>
        <w:rPr>
          <w:rFonts w:hint="eastAsia" w:ascii="方正小标宋_GBK" w:hAnsi="微软雅黑" w:eastAsia="方正小标宋_GBK" w:cs="宋体"/>
          <w:color w:val="000000" w:themeColor="text1"/>
          <w:kern w:val="0"/>
          <w:sz w:val="44"/>
          <w:szCs w:val="44"/>
        </w:rPr>
        <w:t>2020年政府信息公开工作年度报告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40" w:firstLineChars="200"/>
        <w:jc w:val="left"/>
        <w:textAlignment w:val="auto"/>
        <w:rPr>
          <w:rFonts w:ascii="宋体" w:hAnsi="宋体" w:eastAsia="宋体" w:cs="宋体"/>
          <w:color w:val="666666"/>
          <w:kern w:val="0"/>
          <w:sz w:val="22"/>
          <w:szCs w:val="22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仿宋" w:hAnsi="仿宋" w:eastAsia="仿宋"/>
          <w:color w:val="000000"/>
          <w:sz w:val="32"/>
          <w:shd w:val="clear" w:color="auto" w:fill="FFFFFF"/>
        </w:rPr>
      </w:pP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本报告依据《中华人民共和国政府信息公开条例》（以下简称《条例》）和《青海省实施〈中华人民共和国政府信息公开条例〉办法》（以下简称《实施办法》）要求编制。报告中所列数据的统计期限自</w:t>
      </w:r>
      <w:r>
        <w:rPr>
          <w:rFonts w:ascii="Times New Roman" w:hAnsi="Times New Roman" w:cs="Times New Roman"/>
          <w:color w:val="000000"/>
          <w:sz w:val="32"/>
          <w:shd w:val="clear" w:color="auto" w:fill="FFFFFF"/>
        </w:rPr>
        <w:t>2020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年</w:t>
      </w:r>
      <w:r>
        <w:rPr>
          <w:rFonts w:ascii="Times New Roman" w:hAnsi="Times New Roman" w:cs="Times New Roman"/>
          <w:color w:val="000000"/>
          <w:sz w:val="32"/>
          <w:shd w:val="clear" w:color="auto" w:fill="FFFFFF"/>
        </w:rPr>
        <w:t>1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月</w:t>
      </w:r>
      <w:r>
        <w:rPr>
          <w:rFonts w:ascii="Times New Roman" w:hAnsi="Times New Roman" w:cs="Times New Roman"/>
          <w:color w:val="000000"/>
          <w:sz w:val="32"/>
          <w:shd w:val="clear" w:color="auto" w:fill="FFFFFF"/>
        </w:rPr>
        <w:t>1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日起，至</w:t>
      </w:r>
      <w:r>
        <w:rPr>
          <w:rFonts w:ascii="Times New Roman" w:hAnsi="Times New Roman" w:cs="Times New Roman"/>
          <w:color w:val="000000"/>
          <w:sz w:val="32"/>
          <w:shd w:val="clear" w:color="auto" w:fill="FFFFFF"/>
        </w:rPr>
        <w:t>2020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年</w:t>
      </w:r>
      <w:r>
        <w:rPr>
          <w:rFonts w:ascii="Times New Roman" w:hAnsi="Times New Roman" w:cs="Times New Roman"/>
          <w:color w:val="000000"/>
          <w:sz w:val="32"/>
          <w:shd w:val="clear" w:color="auto" w:fill="FFFFFF"/>
        </w:rPr>
        <w:t>12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月</w:t>
      </w:r>
      <w:r>
        <w:rPr>
          <w:rFonts w:ascii="Times New Roman" w:hAnsi="Times New Roman" w:cs="Times New Roman"/>
          <w:color w:val="000000"/>
          <w:sz w:val="32"/>
          <w:shd w:val="clear" w:color="auto" w:fill="FFFFFF"/>
        </w:rPr>
        <w:t>31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日止。对本报告如有疑问，请联系：（0973-</w:t>
      </w:r>
      <w:r>
        <w:rPr>
          <w:rFonts w:hint="eastAsia" w:ascii="仿宋" w:hAnsi="仿宋" w:eastAsia="仿宋"/>
          <w:color w:val="000000"/>
          <w:sz w:val="32"/>
          <w:shd w:val="clear" w:color="auto" w:fill="FFFFFF"/>
          <w:lang w:val="en-US" w:eastAsia="zh-CN"/>
        </w:rPr>
        <w:t>8732929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）。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黑体" w:hAnsi="黑体" w:eastAsia="黑体" w:cs="宋体"/>
          <w:color w:val="000000"/>
          <w:kern w:val="0"/>
          <w:sz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</w:rPr>
        <w:t>一、总体情况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黑体" w:hAnsi="黑体" w:eastAsia="黑体" w:cs="宋体"/>
          <w:color w:val="000000"/>
          <w:kern w:val="0"/>
          <w:sz w:val="32"/>
        </w:rPr>
      </w:pPr>
      <w:r>
        <w:rPr>
          <w:rFonts w:hint="eastAsia" w:ascii="仿宋" w:hAnsi="仿宋" w:eastAsia="仿宋" w:cs="仿宋"/>
          <w:sz w:val="32"/>
          <w:szCs w:val="32"/>
        </w:rPr>
        <w:t>根据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青海省人民政府办公厅</w:t>
      </w:r>
      <w:r>
        <w:rPr>
          <w:rFonts w:hint="eastAsia" w:ascii="仿宋" w:hAnsi="仿宋" w:eastAsia="仿宋" w:cs="仿宋"/>
          <w:sz w:val="32"/>
          <w:szCs w:val="32"/>
        </w:rPr>
        <w:t>《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关于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2021年第一季度全省政府网站和政务新媒体检查情况的通报</w:t>
      </w:r>
      <w:r>
        <w:rPr>
          <w:rFonts w:hint="eastAsia" w:ascii="仿宋" w:hAnsi="仿宋" w:eastAsia="仿宋" w:cs="仿宋"/>
          <w:sz w:val="32"/>
          <w:szCs w:val="32"/>
        </w:rPr>
        <w:t>》(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政</w:t>
      </w:r>
      <w:r>
        <w:rPr>
          <w:rFonts w:hint="eastAsia" w:ascii="仿宋" w:hAnsi="仿宋" w:eastAsia="仿宋" w:cs="仿宋"/>
          <w:sz w:val="32"/>
          <w:szCs w:val="32"/>
        </w:rPr>
        <w:t>办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密函</w:t>
      </w:r>
      <w:r>
        <w:rPr>
          <w:rFonts w:hint="eastAsia" w:ascii="仿宋" w:hAnsi="仿宋" w:eastAsia="仿宋" w:cs="仿宋"/>
          <w:sz w:val="32"/>
          <w:szCs w:val="32"/>
        </w:rPr>
        <w:t>(20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 w:cs="仿宋"/>
          <w:sz w:val="32"/>
          <w:szCs w:val="32"/>
        </w:rPr>
        <w:t>)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46</w:t>
      </w:r>
      <w:r>
        <w:rPr>
          <w:rFonts w:hint="eastAsia" w:ascii="仿宋" w:hAnsi="仿宋" w:eastAsia="仿宋" w:cs="仿宋"/>
          <w:sz w:val="32"/>
          <w:szCs w:val="32"/>
        </w:rPr>
        <w:t>号)和州、县关于政府信息公开工作要求,我局切实把政府信息公开工作作为一项重要的政治任务来抓,遵循注重实效、突出重点、积极稳妥的工作方针,科学安排,规范操作,积极推动政府信息公开工作常态化、制度化。充分利用每周例会、集体学习等有利契机,组织机关全体干部职工认真学习保密法、政府信息公开条例等知识,通过多形式的宣传学习,使广大干部、党员充分认识到开展政府信息公开工作的重要性和必要性。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黑体" w:hAnsi="黑体" w:eastAsia="黑体" w:cs="宋体"/>
          <w:color w:val="000000"/>
          <w:kern w:val="0"/>
          <w:sz w:val="32"/>
        </w:rPr>
        <w:t>二、主动公开政府信息情况</w:t>
      </w:r>
    </w:p>
    <w:tbl>
      <w:tblPr>
        <w:tblStyle w:val="5"/>
        <w:tblW w:w="10206" w:type="dxa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399"/>
        <w:gridCol w:w="1073"/>
        <w:gridCol w:w="1990"/>
        <w:gridCol w:w="1026"/>
        <w:gridCol w:w="1265"/>
        <w:gridCol w:w="2453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1664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第二十条第（一）项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本年新制作数量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本年新公开数量</w:t>
            </w: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对外公开总数量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规章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 xml:space="preserve">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规范性文件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16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仿宋_GB2312" w:hAnsi="宋体" w:eastAsia="仿宋_GB2312" w:cs="宋体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16</w:t>
            </w: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仿宋_GB2312" w:hAnsi="宋体" w:eastAsia="仿宋_GB2312" w:cs="宋体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16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1664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第二十条第（五）项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上一年项目数量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本年增/减</w:t>
            </w: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处理决定数量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行政许可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4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其他对外管理服务事项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10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1664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第二十条第（六）项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上一年项目数量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本年增/减</w:t>
            </w: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处理决定数量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行政处罚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22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行政强制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1664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第二十条第（八）项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57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50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上一年项目数量</w:t>
            </w:r>
          </w:p>
        </w:tc>
        <w:tc>
          <w:tcPr>
            <w:tcW w:w="587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本年增/减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57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行政事业性收费</w:t>
            </w:r>
          </w:p>
        </w:tc>
        <w:tc>
          <w:tcPr>
            <w:tcW w:w="50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87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1664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第二十条第（九）项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57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50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采购项目数量</w:t>
            </w:r>
          </w:p>
        </w:tc>
        <w:tc>
          <w:tcPr>
            <w:tcW w:w="587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采购总金额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57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政府集中采购</w:t>
            </w:r>
          </w:p>
        </w:tc>
        <w:tc>
          <w:tcPr>
            <w:tcW w:w="50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587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1171.75</w:t>
            </w:r>
            <w:bookmarkStart w:id="0" w:name="_GoBack"/>
            <w:bookmarkEnd w:id="0"/>
          </w:p>
        </w:tc>
      </w:tr>
    </w:tbl>
    <w:p>
      <w:pPr>
        <w:widowControl/>
        <w:shd w:val="clear" w:color="auto" w:fill="FFFFFF"/>
        <w:ind w:firstLine="640" w:firstLineChars="200"/>
        <w:jc w:val="left"/>
        <w:rPr>
          <w:rFonts w:ascii="黑体" w:hAnsi="黑体" w:eastAsia="黑体" w:cs="宋体"/>
          <w:color w:val="000000"/>
          <w:kern w:val="0"/>
          <w:sz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</w:rPr>
        <w:t>三、收到和处理政府信息公开申请情况</w:t>
      </w:r>
    </w:p>
    <w:tbl>
      <w:tblPr>
        <w:tblStyle w:val="5"/>
        <w:tblW w:w="10206" w:type="dxa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39"/>
        <w:gridCol w:w="923"/>
        <w:gridCol w:w="3440"/>
        <w:gridCol w:w="503"/>
        <w:gridCol w:w="688"/>
        <w:gridCol w:w="1041"/>
        <w:gridCol w:w="923"/>
        <w:gridCol w:w="789"/>
        <w:gridCol w:w="571"/>
        <w:gridCol w:w="789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4335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（本列数据的勾稽关系为：第一项加第二项之和，等于第三项加第四项之和）</w:t>
            </w:r>
          </w:p>
        </w:tc>
        <w:tc>
          <w:tcPr>
            <w:tcW w:w="4725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申请人情况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5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自然人</w:t>
            </w:r>
          </w:p>
        </w:tc>
        <w:tc>
          <w:tcPr>
            <w:tcW w:w="358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法人或其他组织</w:t>
            </w:r>
          </w:p>
        </w:tc>
        <w:tc>
          <w:tcPr>
            <w:tcW w:w="67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总计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商业企业</w:t>
            </w: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科研机构</w:t>
            </w: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社会公益组织</w:t>
            </w: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法律服务机构</w:t>
            </w: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其他</w:t>
            </w: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433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楷体_GB2312" w:hAnsi="Times New Roman" w:eastAsia="楷体_GB2312" w:cs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楷体_GB2312" w:hAnsi="Times New Roman" w:eastAsia="楷体_GB2312" w:cs="Times New Roman"/>
                <w:b/>
                <w:bCs/>
                <w:kern w:val="0"/>
                <w:sz w:val="22"/>
                <w:szCs w:val="22"/>
              </w:rPr>
              <w:t>一、本年新收政府信息公开申请数量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433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楷体_GB2312" w:hAnsi="Times New Roman" w:eastAsia="楷体_GB2312" w:cs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楷体_GB2312" w:hAnsi="Times New Roman" w:eastAsia="楷体_GB2312" w:cs="Times New Roman"/>
                <w:b/>
                <w:bCs/>
                <w:kern w:val="0"/>
                <w:sz w:val="22"/>
                <w:szCs w:val="22"/>
              </w:rPr>
              <w:t>二、上年结转政府信息公开申请数量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43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楷体_GB2312" w:hAnsi="Times New Roman" w:eastAsia="楷体_GB2312" w:cs="Times New Roman"/>
                <w:b/>
                <w:bCs/>
                <w:kern w:val="0"/>
                <w:sz w:val="22"/>
                <w:szCs w:val="22"/>
              </w:rPr>
              <w:t>三、本年度办理结果</w:t>
            </w:r>
          </w:p>
        </w:tc>
        <w:tc>
          <w:tcPr>
            <w:tcW w:w="39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  <w:szCs w:val="22"/>
              </w:rPr>
              <w:t>（一）予以公开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39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  <w:szCs w:val="22"/>
              </w:rPr>
              <w:t>（二）部分公开（区分处理的，只计这一情形，不计其他情形）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vMerge w:val="restart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  <w:szCs w:val="22"/>
              </w:rPr>
              <w:t>（三）不予公开</w:t>
            </w:r>
          </w:p>
        </w:tc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1.属于国家秘密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2.其他法律行政法规禁止公开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3.危及“三安全一稳定”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4.保护第三方合法权益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5.属于三类内部事务信息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6.属于四类过程性信息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7.属于行政执法案卷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8.属于行政查询事项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  <w:szCs w:val="22"/>
              </w:rPr>
              <w:t>（四）无法提供</w:t>
            </w:r>
          </w:p>
        </w:tc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1.本机关不掌握相关政府信息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2.没有现成信息需要另行制作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3.补正后申请内容仍不明确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  <w:szCs w:val="22"/>
              </w:rPr>
              <w:t>（五）不予处理</w:t>
            </w:r>
          </w:p>
        </w:tc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1.信访举报投诉类申请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2.重复申请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3.要求提供公开出版物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4.无正当理由大量反复申请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5.要求行政机关确认或重新出具已获取信息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39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  <w:szCs w:val="22"/>
              </w:rPr>
              <w:t>（六）其他处理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39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  <w:szCs w:val="22"/>
              </w:rPr>
              <w:t>（七）总计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433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楷体_GB2312" w:hAnsi="宋体" w:eastAsia="楷体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楷体_GB2312" w:hAnsi="Times New Roman" w:eastAsia="楷体_GB2312" w:cs="Times New Roman"/>
                <w:b/>
                <w:bCs/>
                <w:kern w:val="0"/>
                <w:sz w:val="22"/>
                <w:szCs w:val="22"/>
              </w:rPr>
              <w:t>四、结转下年度继续办理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</w:tbl>
    <w:p>
      <w:pPr>
        <w:widowControl/>
        <w:shd w:val="clear" w:color="auto" w:fill="FFFFFF"/>
        <w:ind w:firstLine="640" w:firstLineChars="200"/>
        <w:jc w:val="left"/>
        <w:rPr>
          <w:rFonts w:ascii="黑体" w:hAnsi="黑体" w:eastAsia="黑体" w:cs="宋体"/>
          <w:color w:val="000000"/>
          <w:kern w:val="0"/>
          <w:sz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</w:rPr>
        <w:t>四、政府信息公开行政复议、行政诉讼情况</w:t>
      </w:r>
    </w:p>
    <w:tbl>
      <w:tblPr>
        <w:tblStyle w:val="5"/>
        <w:tblW w:w="10206" w:type="dxa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77"/>
        <w:gridCol w:w="677"/>
        <w:gridCol w:w="677"/>
        <w:gridCol w:w="677"/>
        <w:gridCol w:w="745"/>
        <w:gridCol w:w="609"/>
        <w:gridCol w:w="677"/>
        <w:gridCol w:w="677"/>
        <w:gridCol w:w="677"/>
        <w:gridCol w:w="711"/>
        <w:gridCol w:w="677"/>
        <w:gridCol w:w="677"/>
        <w:gridCol w:w="677"/>
        <w:gridCol w:w="677"/>
        <w:gridCol w:w="694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45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行政复议</w:t>
            </w:r>
          </w:p>
        </w:tc>
        <w:tc>
          <w:tcPr>
            <w:tcW w:w="675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行政诉讼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67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结果维持</w:t>
            </w:r>
          </w:p>
        </w:tc>
        <w:tc>
          <w:tcPr>
            <w:tcW w:w="67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结果纠正</w:t>
            </w:r>
          </w:p>
        </w:tc>
        <w:tc>
          <w:tcPr>
            <w:tcW w:w="67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其他结果</w:t>
            </w:r>
          </w:p>
        </w:tc>
        <w:tc>
          <w:tcPr>
            <w:tcW w:w="67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尚未审结</w:t>
            </w:r>
          </w:p>
        </w:tc>
        <w:tc>
          <w:tcPr>
            <w:tcW w:w="74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总计</w:t>
            </w:r>
          </w:p>
        </w:tc>
        <w:tc>
          <w:tcPr>
            <w:tcW w:w="3351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未经复议直接起诉</w:t>
            </w:r>
          </w:p>
        </w:tc>
        <w:tc>
          <w:tcPr>
            <w:tcW w:w="340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复议后起诉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结果维持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结果纠正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其他结果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尚未审结</w:t>
            </w:r>
          </w:p>
        </w:tc>
        <w:tc>
          <w:tcPr>
            <w:tcW w:w="7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总计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结果维持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结果纠正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其他结果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尚未审结</w:t>
            </w:r>
          </w:p>
        </w:tc>
        <w:tc>
          <w:tcPr>
            <w:tcW w:w="6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总计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</w:tbl>
    <w:p>
      <w:pPr>
        <w:widowControl/>
        <w:shd w:val="clear" w:color="auto" w:fill="FFFFFF"/>
        <w:ind w:firstLine="640" w:firstLineChars="200"/>
        <w:jc w:val="left"/>
        <w:rPr>
          <w:rFonts w:ascii="黑体" w:hAnsi="黑体" w:eastAsia="黑体" w:cs="宋体"/>
          <w:color w:val="000000"/>
          <w:kern w:val="0"/>
          <w:sz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</w:rPr>
        <w:t>五、存在的主要问题及改进情况</w:t>
      </w:r>
    </w:p>
    <w:p>
      <w:pPr>
        <w:widowControl/>
        <w:shd w:val="clear" w:color="auto" w:fill="FFFFFF"/>
        <w:spacing w:line="561" w:lineRule="atLeast"/>
        <w:ind w:firstLine="480"/>
        <w:jc w:val="left"/>
        <w:rPr>
          <w:rFonts w:hint="eastAsia" w:ascii="楷体_GB2312" w:hAnsi="宋体" w:eastAsia="楷体_GB2312" w:cs="宋体"/>
          <w:b/>
          <w:bCs/>
          <w:color w:val="000000"/>
          <w:kern w:val="0"/>
          <w:sz w:val="32"/>
        </w:rPr>
      </w:pPr>
      <w:r>
        <w:rPr>
          <w:rFonts w:hint="eastAsia" w:ascii="楷体_GB2312" w:hAnsi="宋体" w:eastAsia="楷体_GB2312" w:cs="宋体"/>
          <w:b/>
          <w:bCs/>
          <w:color w:val="000000"/>
          <w:kern w:val="0"/>
          <w:sz w:val="32"/>
        </w:rPr>
        <w:t>（一）存在问题</w:t>
      </w:r>
    </w:p>
    <w:p>
      <w:pPr>
        <w:widowControl/>
        <w:shd w:val="clear" w:color="auto" w:fill="FFFFFF"/>
        <w:spacing w:line="561" w:lineRule="atLeast"/>
        <w:ind w:firstLine="480"/>
        <w:jc w:val="left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lang w:eastAsia="zh-CN"/>
        </w:rPr>
        <w:t>一是信息发布不够规范；</w:t>
      </w:r>
    </w:p>
    <w:p>
      <w:pPr>
        <w:widowControl/>
        <w:shd w:val="clear" w:color="auto" w:fill="FFFFFF"/>
        <w:spacing w:line="561" w:lineRule="atLeast"/>
        <w:ind w:firstLine="480"/>
        <w:jc w:val="left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lang w:eastAsia="zh-CN"/>
        </w:rPr>
        <w:t>二是信息发布渠道受众较少；</w:t>
      </w:r>
    </w:p>
    <w:p>
      <w:pPr>
        <w:widowControl/>
        <w:shd w:val="clear" w:color="auto" w:fill="FFFFFF"/>
        <w:spacing w:line="561" w:lineRule="atLeast"/>
        <w:ind w:firstLine="480"/>
        <w:jc w:val="left"/>
        <w:rPr>
          <w:rFonts w:ascii="楷体_GB2312" w:hAnsi="宋体" w:eastAsia="楷体_GB2312" w:cs="宋体"/>
          <w:b/>
          <w:bCs/>
          <w:color w:val="000000"/>
          <w:kern w:val="0"/>
          <w:sz w:val="32"/>
        </w:rPr>
      </w:pPr>
      <w:r>
        <w:rPr>
          <w:rFonts w:hint="eastAsia" w:ascii="楷体_GB2312" w:hAnsi="宋体" w:eastAsia="楷体_GB2312" w:cs="宋体"/>
          <w:b/>
          <w:bCs/>
          <w:color w:val="000000"/>
          <w:kern w:val="0"/>
          <w:sz w:val="32"/>
        </w:rPr>
        <w:t>（二）改进措施</w:t>
      </w:r>
    </w:p>
    <w:p>
      <w:pPr>
        <w:widowControl/>
        <w:shd w:val="clear" w:color="auto" w:fill="FFFFFF"/>
        <w:ind w:firstLine="640" w:firstLineChars="200"/>
        <w:jc w:val="both"/>
        <w:rPr>
          <w:rFonts w:ascii="黑体" w:hAnsi="黑体" w:eastAsia="黑体" w:cs="宋体"/>
          <w:color w:val="000000"/>
          <w:kern w:val="0"/>
          <w:sz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2021年我局将继续拓宽群众民主管理、民主监督渠道。广开渠道听取群众的合理化意见、建议，吸取群众营养，使工业商贸领</w:t>
      </w:r>
      <w:r>
        <w:rPr>
          <w:rFonts w:hint="eastAsia" w:ascii="仿宋" w:hAnsi="仿宋" w:eastAsia="仿宋" w:cs="仿宋"/>
          <w:sz w:val="32"/>
          <w:szCs w:val="32"/>
        </w:rPr>
        <w:t>域各项工作开展具有更广泛的群众基础，使工作更加扎实有效。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一是公开形式多样化。</w:t>
      </w:r>
      <w:r>
        <w:rPr>
          <w:rFonts w:hint="eastAsia" w:ascii="仿宋" w:hAnsi="仿宋" w:eastAsia="仿宋" w:cs="仿宋"/>
          <w:sz w:val="32"/>
          <w:szCs w:val="32"/>
        </w:rPr>
        <w:t>本着“规范、实用、明了、方便”的原则，针对不同内容确定公开形式。主要采取发文件或简报、政务网站公开、信息公开栏公开和微信公众号公开等形式，将长期的、程序性的公开内容与动态的、阶段性的公开内容有机结合起来，注重实效，方便党员群众及时查询和监督。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二是公开时间灵活化。</w:t>
      </w:r>
      <w:r>
        <w:rPr>
          <w:rFonts w:hint="eastAsia" w:ascii="仿宋" w:hAnsi="仿宋" w:eastAsia="仿宋" w:cs="仿宋"/>
          <w:sz w:val="32"/>
          <w:szCs w:val="32"/>
        </w:rPr>
        <w:t>按照时间与内容相适应的原则，实行定期公开与不定期公开相结合，充分体现公开的经常性、动态性、及时性。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三是公开程序规范化。</w:t>
      </w:r>
      <w:r>
        <w:rPr>
          <w:rFonts w:hint="eastAsia" w:ascii="仿宋" w:hAnsi="仿宋" w:eastAsia="仿宋" w:cs="仿宋"/>
          <w:sz w:val="32"/>
          <w:szCs w:val="32"/>
        </w:rPr>
        <w:t>对所有公开的信息，全部都进行保密审查，确保涉密信息不公开不上网。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黑体" w:hAnsi="黑体" w:eastAsia="黑体" w:cs="宋体"/>
          <w:color w:val="000000"/>
          <w:kern w:val="0"/>
          <w:sz w:val="32"/>
        </w:rPr>
        <w:t>六、其他需要报告的事项</w:t>
      </w:r>
    </w:p>
    <w:p>
      <w:pPr>
        <w:widowControl/>
        <w:shd w:val="clear" w:color="auto" w:fill="FFFFFF"/>
        <w:spacing w:line="561" w:lineRule="atLeast"/>
        <w:ind w:firstLine="480"/>
        <w:jc w:val="left"/>
        <w:rPr>
          <w:rFonts w:ascii="楷体_GB2312" w:hAnsi="宋体" w:eastAsia="楷体_GB2312" w:cs="宋体"/>
          <w:b/>
          <w:bCs/>
          <w:color w:val="000000"/>
          <w:kern w:val="0"/>
          <w:sz w:val="32"/>
        </w:rPr>
      </w:pPr>
      <w:r>
        <w:rPr>
          <w:rFonts w:hint="eastAsia" w:ascii="楷体_GB2312" w:hAnsi="宋体" w:eastAsia="楷体_GB2312" w:cs="宋体"/>
          <w:b/>
          <w:bCs/>
          <w:color w:val="000000"/>
          <w:kern w:val="0"/>
          <w:sz w:val="32"/>
        </w:rPr>
        <w:t>（一）政府热线处理情况</w:t>
      </w:r>
    </w:p>
    <w:p>
      <w:pPr>
        <w:widowControl/>
        <w:shd w:val="clear" w:color="auto" w:fill="FFFFFF"/>
        <w:spacing w:line="561" w:lineRule="atLeast"/>
        <w:ind w:firstLine="1049" w:firstLineChars="328"/>
        <w:jc w:val="left"/>
        <w:rPr>
          <w:rFonts w:hint="eastAsia" w:ascii="仿宋" w:hAnsi="仿宋" w:eastAsia="仿宋"/>
          <w:color w:val="000000"/>
          <w:sz w:val="32"/>
          <w:shd w:val="clear" w:color="auto" w:fill="FFFFFF"/>
          <w:lang w:eastAsia="zh-CN"/>
        </w:rPr>
      </w:pPr>
      <w:r>
        <w:rPr>
          <w:rFonts w:hint="eastAsia" w:ascii="仿宋" w:hAnsi="仿宋" w:eastAsia="仿宋"/>
          <w:color w:val="000000"/>
          <w:sz w:val="32"/>
          <w:shd w:val="clear" w:color="auto" w:fill="FFFFFF"/>
          <w:lang w:eastAsia="zh-CN"/>
        </w:rPr>
        <w:t>无</w:t>
      </w:r>
    </w:p>
    <w:p>
      <w:pPr>
        <w:widowControl/>
        <w:shd w:val="clear" w:color="auto" w:fill="FFFFFF"/>
        <w:spacing w:line="561" w:lineRule="atLeast"/>
        <w:ind w:firstLine="480"/>
        <w:jc w:val="left"/>
        <w:rPr>
          <w:rFonts w:ascii="楷体_GB2312" w:hAnsi="宋体" w:eastAsia="楷体_GB2312" w:cs="宋体"/>
          <w:b/>
          <w:bCs/>
          <w:color w:val="000000"/>
          <w:kern w:val="0"/>
          <w:sz w:val="32"/>
        </w:rPr>
      </w:pPr>
      <w:r>
        <w:rPr>
          <w:rFonts w:hint="eastAsia" w:ascii="楷体_GB2312" w:hAnsi="宋体" w:eastAsia="楷体_GB2312" w:cs="宋体"/>
          <w:b/>
          <w:bCs/>
          <w:color w:val="000000"/>
          <w:kern w:val="0"/>
          <w:sz w:val="32"/>
        </w:rPr>
        <w:t>（二）依申请公开政府信息和不予公开政府信息的情况</w:t>
      </w:r>
    </w:p>
    <w:p>
      <w:pPr>
        <w:widowControl/>
        <w:shd w:val="clear" w:color="auto" w:fill="FFFFFF"/>
        <w:ind w:firstLine="960" w:firstLineChars="300"/>
        <w:jc w:val="left"/>
        <w:rPr>
          <w:rFonts w:hint="eastAsia" w:ascii="仿宋" w:hAnsi="仿宋" w:eastAsia="仿宋"/>
          <w:color w:val="000000"/>
          <w:sz w:val="32"/>
          <w:shd w:val="clear" w:color="auto" w:fill="FFFFFF"/>
          <w:lang w:eastAsia="zh-CN"/>
        </w:rPr>
      </w:pPr>
      <w:r>
        <w:rPr>
          <w:rFonts w:hint="eastAsia" w:ascii="仿宋" w:hAnsi="仿宋" w:eastAsia="仿宋"/>
          <w:color w:val="000000"/>
          <w:sz w:val="32"/>
          <w:shd w:val="clear" w:color="auto" w:fill="FFFFFF"/>
          <w:lang w:eastAsia="zh-CN"/>
        </w:rPr>
        <w:t>无</w:t>
      </w:r>
    </w:p>
    <w:p>
      <w:pPr>
        <w:widowControl/>
        <w:numPr>
          <w:ilvl w:val="0"/>
          <w:numId w:val="1"/>
        </w:numPr>
        <w:shd w:val="clear" w:color="auto" w:fill="FFFFFF"/>
        <w:spacing w:line="561" w:lineRule="atLeast"/>
        <w:ind w:firstLine="480"/>
        <w:jc w:val="left"/>
        <w:rPr>
          <w:rFonts w:hint="eastAsia" w:ascii="楷体_GB2312" w:hAnsi="宋体" w:eastAsia="楷体_GB2312" w:cs="宋体"/>
          <w:b/>
          <w:bCs/>
          <w:color w:val="000000"/>
          <w:kern w:val="0"/>
          <w:sz w:val="32"/>
        </w:rPr>
      </w:pPr>
      <w:r>
        <w:rPr>
          <w:rFonts w:hint="eastAsia" w:ascii="楷体_GB2312" w:hAnsi="宋体" w:eastAsia="楷体_GB2312" w:cs="宋体"/>
          <w:b/>
          <w:bCs/>
          <w:color w:val="000000"/>
          <w:kern w:val="0"/>
          <w:sz w:val="32"/>
        </w:rPr>
        <w:t>政府信息公开的收费及减免情况</w:t>
      </w:r>
    </w:p>
    <w:p>
      <w:pPr>
        <w:widowControl/>
        <w:numPr>
          <w:ilvl w:val="0"/>
          <w:numId w:val="0"/>
        </w:numPr>
        <w:shd w:val="clear" w:color="auto" w:fill="FFFFFF"/>
        <w:spacing w:line="561" w:lineRule="atLeast"/>
        <w:ind w:firstLine="960" w:firstLineChars="300"/>
        <w:jc w:val="left"/>
        <w:rPr>
          <w:rFonts w:hint="eastAsia" w:ascii="仿宋" w:hAnsi="仿宋" w:eastAsia="仿宋"/>
          <w:color w:val="000000"/>
          <w:sz w:val="32"/>
          <w:shd w:val="clear" w:color="auto" w:fill="FFFFFF"/>
          <w:lang w:eastAsia="zh-CN"/>
        </w:rPr>
      </w:pPr>
      <w:r>
        <w:rPr>
          <w:rFonts w:hint="eastAsia" w:ascii="仿宋" w:hAnsi="仿宋" w:eastAsia="仿宋"/>
          <w:color w:val="000000"/>
          <w:sz w:val="32"/>
          <w:shd w:val="clear" w:color="auto" w:fill="FFFFFF"/>
          <w:lang w:eastAsia="zh-CN"/>
        </w:rPr>
        <w:t>无</w:t>
      </w:r>
    </w:p>
    <w:p>
      <w:pPr>
        <w:widowControl/>
        <w:shd w:val="clear" w:color="auto" w:fill="FFFFFF"/>
        <w:spacing w:line="561" w:lineRule="atLeast"/>
        <w:ind w:firstLine="480"/>
        <w:jc w:val="left"/>
        <w:rPr>
          <w:rFonts w:ascii="楷体_GB2312" w:hAnsi="宋体" w:eastAsia="楷体_GB2312" w:cs="宋体"/>
          <w:b/>
          <w:bCs/>
          <w:color w:val="000000"/>
          <w:kern w:val="0"/>
          <w:sz w:val="32"/>
        </w:rPr>
      </w:pPr>
      <w:r>
        <w:rPr>
          <w:rFonts w:hint="eastAsia" w:ascii="楷体_GB2312" w:hAnsi="宋体" w:eastAsia="楷体_GB2312" w:cs="宋体"/>
          <w:b/>
          <w:bCs/>
          <w:color w:val="000000"/>
          <w:kern w:val="0"/>
          <w:sz w:val="32"/>
        </w:rPr>
        <w:t>（四）因政府信息公开申请行政复议、提起行政诉讼的情况</w:t>
      </w:r>
    </w:p>
    <w:p>
      <w:pPr>
        <w:widowControl/>
        <w:shd w:val="clear" w:color="auto" w:fill="FFFFFF"/>
        <w:ind w:firstLine="960" w:firstLineChars="300"/>
        <w:jc w:val="left"/>
        <w:rPr>
          <w:rFonts w:hint="eastAsia" w:eastAsiaTheme="minorEastAsia"/>
          <w:lang w:eastAsia="zh-CN"/>
        </w:rPr>
      </w:pPr>
      <w:r>
        <w:rPr>
          <w:rFonts w:hint="eastAsia" w:ascii="仿宋" w:hAnsi="仿宋" w:eastAsia="仿宋"/>
          <w:color w:val="000000"/>
          <w:sz w:val="32"/>
          <w:shd w:val="clear" w:color="auto" w:fill="FFFFFF"/>
          <w:lang w:eastAsia="zh-CN"/>
        </w:rPr>
        <w:t>无</w:t>
      </w:r>
    </w:p>
    <w:sectPr>
      <w:pgSz w:w="11906" w:h="16838"/>
      <w:pgMar w:top="1440" w:right="1440" w:bottom="144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Himalaya">
    <w:panose1 w:val="01010100010101010101"/>
    <w:charset w:val="00"/>
    <w:family w:val="auto"/>
    <w:pitch w:val="default"/>
    <w:sig w:usb0="80000003" w:usb1="00010000" w:usb2="00000040" w:usb3="00000000" w:csb0="00000001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81329B6"/>
    <w:multiLevelType w:val="singleLevel"/>
    <w:tmpl w:val="481329B6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2"/>
  </w:compat>
  <w:rsids>
    <w:rsidRoot w:val="00A014F8"/>
    <w:rsid w:val="00311377"/>
    <w:rsid w:val="00315013"/>
    <w:rsid w:val="005807B6"/>
    <w:rsid w:val="00730401"/>
    <w:rsid w:val="007C6AFF"/>
    <w:rsid w:val="00A014F8"/>
    <w:rsid w:val="00AA4DAF"/>
    <w:rsid w:val="00C86AD6"/>
    <w:rsid w:val="00E531F7"/>
    <w:rsid w:val="00FC4F54"/>
    <w:rsid w:val="38A70B7D"/>
    <w:rsid w:val="3A2001FA"/>
    <w:rsid w:val="5E2F46CE"/>
    <w:rsid w:val="671B43A6"/>
    <w:rsid w:val="70001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76" w:lineRule="exact"/>
      <w:jc w:val="both"/>
    </w:pPr>
    <w:rPr>
      <w:rFonts w:asciiTheme="minorHAnsi" w:hAnsiTheme="minorHAnsi" w:eastAsiaTheme="minorEastAsia" w:cstheme="minorBidi"/>
      <w:kern w:val="2"/>
      <w:sz w:val="21"/>
      <w:szCs w:val="32"/>
      <w:lang w:val="en-US" w:eastAsia="zh-CN" w:bidi="bo-CN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26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26"/>
    </w:rPr>
  </w:style>
  <w:style w:type="paragraph" w:styleId="4">
    <w:name w:val="Normal (Web)"/>
    <w:basedOn w:val="1"/>
    <w:semiHidden/>
    <w:unhideWhenUsed/>
    <w:uiPriority w:val="99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7">
    <w:name w:val="p"/>
    <w:basedOn w:val="1"/>
    <w:qFormat/>
    <w:uiPriority w:val="0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"/>
    <w:basedOn w:val="6"/>
    <w:link w:val="3"/>
    <w:semiHidden/>
    <w:qFormat/>
    <w:uiPriority w:val="99"/>
    <w:rPr>
      <w:sz w:val="18"/>
      <w:szCs w:val="26"/>
    </w:rPr>
  </w:style>
  <w:style w:type="character" w:customStyle="1" w:styleId="9">
    <w:name w:val="页脚 Char"/>
    <w:basedOn w:val="6"/>
    <w:link w:val="2"/>
    <w:semiHidden/>
    <w:uiPriority w:val="99"/>
    <w:rPr>
      <w:sz w:val="18"/>
      <w:szCs w:val="2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5</Pages>
  <Words>234</Words>
  <Characters>1337</Characters>
  <Lines>11</Lines>
  <Paragraphs>3</Paragraphs>
  <TotalTime>13</TotalTime>
  <ScaleCrop>false</ScaleCrop>
  <LinksUpToDate>false</LinksUpToDate>
  <CharactersWithSpaces>1568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2021-04-23T06:56:00Z</dcterms:created>
  <dc:creator>未定义</dc:creator>
  <cp:lastModifiedBy>wss</cp:lastModifiedBy>
  <cp:lastPrinted>2021-04-29T08:38:31Z</cp:lastPrinted>
  <dcterms:modified xsi:type="dcterms:W3CDTF">2021-04-29T08:38:37Z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790602E0D3F04522808350EE07CF915E</vt:lpwstr>
  </property>
</Properties>
</file>